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60DB6" w14:textId="6BEF11A3" w:rsidR="00294183" w:rsidRPr="00C0466D" w:rsidRDefault="00294183" w:rsidP="00294183">
      <w:pPr>
        <w:rPr>
          <w:rFonts w:ascii="Times New Roman" w:hAnsi="Times New Roman" w:cs="Times New Roman"/>
          <w:sz w:val="24"/>
          <w:szCs w:val="24"/>
          <w:lang w:val="en-GB"/>
        </w:rPr>
      </w:pPr>
      <w:r w:rsidRPr="00C0466D">
        <w:rPr>
          <w:rFonts w:ascii="Times New Roman" w:hAnsi="Times New Roman" w:cs="Times New Roman"/>
          <w:noProof/>
          <w:sz w:val="24"/>
          <w:szCs w:val="24"/>
          <w:lang w:val="en-GB"/>
        </w:rPr>
        <w:drawing>
          <wp:anchor distT="0" distB="0" distL="114300" distR="114300" simplePos="0" relativeHeight="251659264" behindDoc="1" locked="0" layoutInCell="1" allowOverlap="1" wp14:anchorId="4D8478C6" wp14:editId="05C551E7">
            <wp:simplePos x="0" y="0"/>
            <wp:positionH relativeFrom="margin">
              <wp:align>center</wp:align>
            </wp:positionH>
            <wp:positionV relativeFrom="paragraph">
              <wp:posOffset>0</wp:posOffset>
            </wp:positionV>
            <wp:extent cx="3223260" cy="777240"/>
            <wp:effectExtent l="0" t="0" r="0" b="3810"/>
            <wp:wrapTight wrapText="bothSides">
              <wp:wrapPolygon edited="0">
                <wp:start x="0" y="0"/>
                <wp:lineTo x="0" y="21176"/>
                <wp:lineTo x="21447" y="21176"/>
                <wp:lineTo x="21447" y="0"/>
                <wp:lineTo x="0" y="0"/>
              </wp:wrapPolygon>
            </wp:wrapTight>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8">
                      <a:extLst>
                        <a:ext uri="{28A0092B-C50C-407E-A947-70E740481C1C}">
                          <a14:useLocalDpi xmlns:a14="http://schemas.microsoft.com/office/drawing/2010/main" val="0"/>
                        </a:ext>
                      </a:extLst>
                    </a:blip>
                    <a:stretch>
                      <a:fillRect/>
                    </a:stretch>
                  </pic:blipFill>
                  <pic:spPr>
                    <a:xfrm>
                      <a:off x="0" y="0"/>
                      <a:ext cx="3223260" cy="777240"/>
                    </a:xfrm>
                    <a:prstGeom prst="rect">
                      <a:avLst/>
                    </a:prstGeom>
                  </pic:spPr>
                </pic:pic>
              </a:graphicData>
            </a:graphic>
            <wp14:sizeRelH relativeFrom="page">
              <wp14:pctWidth>0</wp14:pctWidth>
            </wp14:sizeRelH>
            <wp14:sizeRelV relativeFrom="page">
              <wp14:pctHeight>0</wp14:pctHeight>
            </wp14:sizeRelV>
          </wp:anchor>
        </w:drawing>
      </w:r>
    </w:p>
    <w:p w14:paraId="4337CFE6" w14:textId="77777777" w:rsidR="00A1645A" w:rsidRPr="00C0466D" w:rsidRDefault="00A1645A" w:rsidP="00294183">
      <w:pPr>
        <w:spacing w:after="23" w:line="248" w:lineRule="auto"/>
        <w:ind w:left="308" w:right="2"/>
        <w:jc w:val="center"/>
        <w:rPr>
          <w:rFonts w:ascii="Times New Roman" w:hAnsi="Times New Roman" w:cs="Times New Roman"/>
          <w:b/>
          <w:color w:val="000000"/>
          <w:sz w:val="24"/>
          <w:szCs w:val="24"/>
          <w:lang w:val="en-GB"/>
        </w:rPr>
      </w:pPr>
    </w:p>
    <w:p w14:paraId="6F21AF67" w14:textId="77777777" w:rsidR="00A1645A" w:rsidRPr="00C0466D" w:rsidRDefault="00A1645A" w:rsidP="00294183">
      <w:pPr>
        <w:spacing w:after="23" w:line="248" w:lineRule="auto"/>
        <w:ind w:left="308" w:right="2"/>
        <w:jc w:val="center"/>
        <w:rPr>
          <w:rFonts w:ascii="Times New Roman" w:hAnsi="Times New Roman" w:cs="Times New Roman"/>
          <w:b/>
          <w:color w:val="000000"/>
          <w:sz w:val="24"/>
          <w:szCs w:val="24"/>
          <w:lang w:val="en-GB"/>
        </w:rPr>
      </w:pPr>
    </w:p>
    <w:p w14:paraId="0B6BAC55" w14:textId="77777777" w:rsidR="00C0466D" w:rsidRDefault="00C0466D" w:rsidP="00294183">
      <w:pPr>
        <w:spacing w:after="23" w:line="248" w:lineRule="auto"/>
        <w:ind w:left="308" w:right="2"/>
        <w:jc w:val="center"/>
        <w:rPr>
          <w:rFonts w:ascii="Times New Roman" w:hAnsi="Times New Roman" w:cs="Times New Roman"/>
          <w:b/>
          <w:color w:val="000000"/>
          <w:sz w:val="24"/>
          <w:szCs w:val="24"/>
          <w:lang w:val="en-GB"/>
        </w:rPr>
      </w:pPr>
    </w:p>
    <w:p w14:paraId="19CEA20F" w14:textId="03019A1F" w:rsidR="00B15573" w:rsidRDefault="00C0466D" w:rsidP="00294183">
      <w:pPr>
        <w:spacing w:after="23" w:line="248" w:lineRule="auto"/>
        <w:ind w:left="308" w:right="2"/>
        <w:jc w:val="center"/>
        <w:rPr>
          <w:rFonts w:ascii="Times New Roman" w:hAnsi="Times New Roman" w:cs="Times New Roman"/>
          <w:b/>
          <w:color w:val="000000"/>
          <w:sz w:val="32"/>
          <w:szCs w:val="32"/>
          <w:lang w:val="en-GB"/>
        </w:rPr>
      </w:pPr>
      <w:r w:rsidRPr="00C0466D">
        <w:rPr>
          <w:rFonts w:ascii="Times New Roman" w:hAnsi="Times New Roman" w:cs="Times New Roman"/>
          <w:b/>
          <w:color w:val="000000"/>
          <w:sz w:val="32"/>
          <w:szCs w:val="32"/>
          <w:lang w:val="en-GB"/>
        </w:rPr>
        <w:t>TERMS OF REFERENCE</w:t>
      </w:r>
    </w:p>
    <w:p w14:paraId="6F825526" w14:textId="7609945B" w:rsidR="00DA2711" w:rsidRDefault="00DA2711" w:rsidP="00294183">
      <w:pPr>
        <w:spacing w:after="23" w:line="248" w:lineRule="auto"/>
        <w:ind w:left="308" w:right="2"/>
        <w:jc w:val="center"/>
        <w:rPr>
          <w:rFonts w:ascii="Times New Roman" w:hAnsi="Times New Roman" w:cs="Times New Roman"/>
          <w:b/>
          <w:color w:val="000000"/>
          <w:sz w:val="32"/>
          <w:szCs w:val="32"/>
          <w:lang w:val="en-GB"/>
        </w:rPr>
      </w:pPr>
    </w:p>
    <w:p w14:paraId="688D5A12" w14:textId="60587FFC" w:rsidR="00DA2711" w:rsidRPr="00DA2711" w:rsidRDefault="00DA2711" w:rsidP="00294183">
      <w:pPr>
        <w:spacing w:after="23" w:line="248" w:lineRule="auto"/>
        <w:ind w:left="308" w:right="2"/>
        <w:jc w:val="center"/>
        <w:rPr>
          <w:rFonts w:ascii="Times New Roman" w:hAnsi="Times New Roman" w:cs="Times New Roman"/>
          <w:b/>
          <w:color w:val="000000"/>
          <w:sz w:val="30"/>
          <w:szCs w:val="30"/>
          <w:lang w:val="en-GB"/>
        </w:rPr>
      </w:pPr>
      <w:r w:rsidRPr="00DA2711">
        <w:rPr>
          <w:rFonts w:ascii="Times New Roman" w:hAnsi="Times New Roman" w:cs="Times New Roman"/>
          <w:b/>
          <w:color w:val="000000"/>
          <w:sz w:val="30"/>
          <w:szCs w:val="30"/>
          <w:highlight w:val="yellow"/>
          <w:lang w:val="en-GB"/>
        </w:rPr>
        <w:t>INDIVIDUAL CONSULTANCY</w:t>
      </w:r>
    </w:p>
    <w:p w14:paraId="10F21DC3" w14:textId="77777777" w:rsidR="00C0466D" w:rsidRDefault="00C0466D" w:rsidP="00294183">
      <w:pPr>
        <w:spacing w:after="23" w:line="248" w:lineRule="auto"/>
        <w:ind w:left="308" w:right="2"/>
        <w:jc w:val="center"/>
        <w:rPr>
          <w:rFonts w:ascii="Times New Roman" w:hAnsi="Times New Roman" w:cs="Times New Roman"/>
          <w:b/>
          <w:bCs/>
          <w:iCs/>
          <w:color w:val="000000"/>
          <w:sz w:val="32"/>
          <w:szCs w:val="32"/>
          <w:lang w:val="en-GB"/>
        </w:rPr>
      </w:pPr>
    </w:p>
    <w:p w14:paraId="740AFF6B" w14:textId="5B41B675" w:rsidR="00294183" w:rsidRPr="00DA2711" w:rsidRDefault="00C0466D" w:rsidP="00294183">
      <w:pPr>
        <w:spacing w:after="23" w:line="248" w:lineRule="auto"/>
        <w:ind w:left="308" w:right="2"/>
        <w:jc w:val="center"/>
        <w:rPr>
          <w:rFonts w:ascii="Times New Roman" w:hAnsi="Times New Roman" w:cs="Times New Roman"/>
          <w:b/>
          <w:bCs/>
          <w:iCs/>
          <w:color w:val="000000"/>
          <w:sz w:val="28"/>
          <w:szCs w:val="28"/>
          <w:lang w:val="en-GB"/>
        </w:rPr>
      </w:pPr>
      <w:r w:rsidRPr="00DA2711">
        <w:rPr>
          <w:rFonts w:ascii="Times New Roman" w:hAnsi="Times New Roman" w:cs="Times New Roman"/>
          <w:b/>
          <w:bCs/>
          <w:iCs/>
          <w:color w:val="000000"/>
          <w:sz w:val="28"/>
          <w:szCs w:val="28"/>
          <w:lang w:val="en-GB"/>
        </w:rPr>
        <w:t>DEVELOPMENT</w:t>
      </w:r>
      <w:r w:rsidR="00DA2711" w:rsidRPr="00DA2711">
        <w:rPr>
          <w:rFonts w:ascii="Times New Roman" w:hAnsi="Times New Roman" w:cs="Times New Roman"/>
          <w:b/>
          <w:bCs/>
          <w:iCs/>
          <w:color w:val="000000"/>
          <w:sz w:val="28"/>
          <w:szCs w:val="28"/>
          <w:lang w:val="en-GB"/>
        </w:rPr>
        <w:t xml:space="preserve"> OF</w:t>
      </w:r>
      <w:r w:rsidRPr="00DA2711">
        <w:rPr>
          <w:rFonts w:ascii="Times New Roman" w:hAnsi="Times New Roman" w:cs="Times New Roman"/>
          <w:b/>
          <w:bCs/>
          <w:iCs/>
          <w:color w:val="000000"/>
          <w:sz w:val="28"/>
          <w:szCs w:val="28"/>
          <w:lang w:val="en-GB"/>
        </w:rPr>
        <w:t xml:space="preserve"> AN IMPLEMENTABLE RESOURCE MOBILISATION PLAN ALIGNED WITH THE PAN-AFRICAN PPR ERADICATION PROGRAMME (2023–2027), SUPPORTING ACCELERATED PPR ERADICATION AND INTEGRATED SMALL RUMINANT DISEASE CONTROL</w:t>
      </w:r>
    </w:p>
    <w:p w14:paraId="006314A8" w14:textId="77777777" w:rsidR="00294183" w:rsidRPr="00C0466D" w:rsidRDefault="00294183" w:rsidP="00E464EE">
      <w:pPr>
        <w:spacing w:after="0" w:line="240" w:lineRule="auto"/>
        <w:jc w:val="center"/>
        <w:rPr>
          <w:rFonts w:ascii="Times New Roman" w:hAnsi="Times New Roman" w:cs="Times New Roman"/>
          <w:sz w:val="24"/>
          <w:szCs w:val="24"/>
          <w:lang w:val="en-GB"/>
        </w:rPr>
      </w:pPr>
    </w:p>
    <w:p w14:paraId="272BD71E" w14:textId="640F4F43" w:rsidR="00B15573" w:rsidRPr="00C0466D" w:rsidRDefault="00E90149" w:rsidP="00E464EE">
      <w:pPr>
        <w:pStyle w:val="Heading1"/>
        <w:spacing w:after="0" w:line="240" w:lineRule="auto"/>
        <w:rPr>
          <w:rFonts w:ascii="Times New Roman" w:hAnsi="Times New Roman" w:cs="Times New Roman"/>
          <w:color w:val="auto"/>
          <w:sz w:val="24"/>
          <w:szCs w:val="24"/>
          <w:lang w:val="en-GB"/>
        </w:rPr>
      </w:pPr>
      <w:r w:rsidRPr="00C0466D">
        <w:rPr>
          <w:rFonts w:ascii="Times New Roman" w:hAnsi="Times New Roman" w:cs="Times New Roman"/>
          <w:color w:val="auto"/>
          <w:sz w:val="24"/>
          <w:szCs w:val="24"/>
          <w:lang w:val="en-GB"/>
        </w:rPr>
        <w:t>Context: Programme background and overview</w:t>
      </w:r>
    </w:p>
    <w:p w14:paraId="01CABB9E" w14:textId="77777777" w:rsidR="00C0466D" w:rsidRPr="00C0466D" w:rsidRDefault="00C0466D" w:rsidP="00E464EE">
      <w:pPr>
        <w:spacing w:after="0" w:line="240" w:lineRule="auto"/>
        <w:rPr>
          <w:rFonts w:ascii="Times New Roman" w:hAnsi="Times New Roman" w:cs="Times New Roman"/>
          <w:sz w:val="8"/>
          <w:szCs w:val="8"/>
          <w:lang w:val="en-GB"/>
        </w:rPr>
      </w:pPr>
    </w:p>
    <w:p w14:paraId="57E8602E" w14:textId="701C1E7E"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African Union – Interafrican Bureau for Animal Resources (AU-IBAR) is a specialized technical agency of the African Union Commission (AUC), mandated to coordinate and support AU Member States and Regional Economic Communities (RECs) in harnessing animal resources for human well-being and inclusive economic development. AU-IBAR supports animal health governance, regional harmonisation, capacity strengthening, and strategic partnerships that advance resilient livestock systems, trade, and livelihoods.</w:t>
      </w:r>
    </w:p>
    <w:p w14:paraId="34993352" w14:textId="77777777" w:rsidR="00E464EE" w:rsidRPr="00C0466D" w:rsidRDefault="00E464EE" w:rsidP="00E464EE">
      <w:pPr>
        <w:spacing w:after="0" w:line="240" w:lineRule="auto"/>
        <w:rPr>
          <w:rFonts w:ascii="Times New Roman" w:hAnsi="Times New Roman" w:cs="Times New Roman"/>
          <w:sz w:val="24"/>
          <w:szCs w:val="24"/>
          <w:lang w:val="en-GB"/>
        </w:rPr>
      </w:pPr>
    </w:p>
    <w:p w14:paraId="08BEAD17"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 xml:space="preserve">In support of Africa’s objective to eradicate Peste des Petits Ruminants (PPR) by 2030—aligned with the global eradication target—AU-IBAR hosts the Pan-African PPR Secretariat (PAPS) in Nairobi, which coordinates continental and regional actions under the Pan-African PPR Eradication Programme (2023–2027). The programme is stakeholder-driven, anchored in lessons learned from rinderpest eradication, and designed to cascade to small ruminant-keeping communities across </w:t>
      </w:r>
      <w:proofErr w:type="spellStart"/>
      <w:r w:rsidRPr="00C0466D">
        <w:rPr>
          <w:rFonts w:ascii="Times New Roman" w:hAnsi="Times New Roman" w:cs="Times New Roman"/>
          <w:sz w:val="24"/>
          <w:szCs w:val="24"/>
          <w:lang w:val="en-GB"/>
        </w:rPr>
        <w:t>RECs.</w:t>
      </w:r>
      <w:proofErr w:type="spellEnd"/>
    </w:p>
    <w:p w14:paraId="16F9171F" w14:textId="77777777" w:rsidR="00294183" w:rsidRPr="00C0466D" w:rsidRDefault="00294183" w:rsidP="00E464EE">
      <w:pPr>
        <w:spacing w:after="0" w:line="240" w:lineRule="auto"/>
        <w:rPr>
          <w:rFonts w:ascii="Times New Roman" w:hAnsi="Times New Roman" w:cs="Times New Roman"/>
          <w:sz w:val="24"/>
          <w:szCs w:val="24"/>
          <w:lang w:val="en-GB"/>
        </w:rPr>
      </w:pPr>
    </w:p>
    <w:p w14:paraId="1602FFCF"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Under the EU-supported Action “EU support to the Eradication of PPR (Peste des petits ruminants) from Africa” (ACT-61965), AU-IBAR and partners are implementing preparatory actions to strengthen governance, coordination, strategies, surveillance, vaccination preparedness, and sustainable financing.</w:t>
      </w:r>
    </w:p>
    <w:p w14:paraId="2234F67D" w14:textId="77777777" w:rsidR="00E464EE" w:rsidRPr="00C0466D" w:rsidRDefault="00E464EE" w:rsidP="00E464EE">
      <w:pPr>
        <w:spacing w:after="0" w:line="240" w:lineRule="auto"/>
        <w:rPr>
          <w:rFonts w:ascii="Times New Roman" w:hAnsi="Times New Roman" w:cs="Times New Roman"/>
          <w:sz w:val="24"/>
          <w:szCs w:val="24"/>
          <w:lang w:val="en-GB"/>
        </w:rPr>
      </w:pPr>
    </w:p>
    <w:p w14:paraId="0C1C615F" w14:textId="77777777" w:rsidR="00B15573" w:rsidRPr="00C0466D" w:rsidRDefault="00E90149" w:rsidP="00E464EE">
      <w:pPr>
        <w:spacing w:after="0" w:line="240" w:lineRule="auto"/>
        <w:rPr>
          <w:rFonts w:ascii="Times New Roman" w:hAnsi="Times New Roman" w:cs="Times New Roman"/>
          <w:bCs/>
          <w:sz w:val="24"/>
          <w:szCs w:val="24"/>
          <w:lang w:val="en-GB"/>
        </w:rPr>
      </w:pPr>
      <w:r w:rsidRPr="00C0466D">
        <w:rPr>
          <w:rFonts w:ascii="Times New Roman" w:hAnsi="Times New Roman" w:cs="Times New Roman"/>
          <w:bCs/>
          <w:sz w:val="24"/>
          <w:szCs w:val="24"/>
          <w:lang w:val="en-GB"/>
        </w:rPr>
        <w:t>The Pan-African PPR Eradication Programme recognises that eradication of PPR cannot be sustained through vaccination, surveillance and coordination alone. Long-term success requires that PPR eradication be linked to stronger political buy-in, predictable financing, better alignment of partner support, and practical integration into national, regional and continental planning and budgeting processes.</w:t>
      </w:r>
    </w:p>
    <w:p w14:paraId="37D043B1" w14:textId="77777777" w:rsidR="00B15573" w:rsidRPr="00C0466D" w:rsidRDefault="00E90149" w:rsidP="00E464EE">
      <w:pPr>
        <w:spacing w:after="0" w:line="240" w:lineRule="auto"/>
        <w:rPr>
          <w:rFonts w:ascii="Times New Roman" w:hAnsi="Times New Roman" w:cs="Times New Roman"/>
          <w:bCs/>
          <w:sz w:val="24"/>
          <w:szCs w:val="24"/>
          <w:lang w:val="en-GB"/>
        </w:rPr>
      </w:pPr>
      <w:r w:rsidRPr="00C0466D">
        <w:rPr>
          <w:rFonts w:ascii="Times New Roman" w:hAnsi="Times New Roman" w:cs="Times New Roman"/>
          <w:bCs/>
          <w:sz w:val="24"/>
          <w:szCs w:val="24"/>
          <w:lang w:val="en-GB"/>
        </w:rPr>
        <w:t>In this regard, resource mobilisation is not treated as a stand-alone fundraising exercise, but as a strategic function of programme implementation, intended to support coordinated financing, sharpen advocacy, strengthen ownership by Member States and RECs, and improve the overall coherence of investments around the pathway to PPR eradication by 2030.</w:t>
      </w:r>
    </w:p>
    <w:p w14:paraId="4E544435" w14:textId="77777777" w:rsidR="00C0466D" w:rsidRPr="00C0466D" w:rsidRDefault="00C0466D" w:rsidP="00E464EE">
      <w:pPr>
        <w:spacing w:after="0" w:line="240" w:lineRule="auto"/>
        <w:rPr>
          <w:rFonts w:ascii="Times New Roman" w:hAnsi="Times New Roman" w:cs="Times New Roman"/>
          <w:bCs/>
          <w:sz w:val="24"/>
          <w:szCs w:val="24"/>
          <w:lang w:val="en-GB"/>
        </w:rPr>
      </w:pPr>
    </w:p>
    <w:p w14:paraId="4BC1B065" w14:textId="10C29A08" w:rsidR="00B15573" w:rsidRDefault="00E90149" w:rsidP="00E464EE">
      <w:pPr>
        <w:pStyle w:val="Heading1"/>
        <w:spacing w:before="0" w:after="0" w:line="240" w:lineRule="auto"/>
        <w:rPr>
          <w:rFonts w:ascii="Times New Roman" w:hAnsi="Times New Roman" w:cs="Times New Roman"/>
          <w:color w:val="auto"/>
          <w:sz w:val="24"/>
          <w:szCs w:val="24"/>
          <w:lang w:val="en-GB"/>
        </w:rPr>
      </w:pPr>
      <w:r w:rsidRPr="00C0466D">
        <w:rPr>
          <w:rFonts w:ascii="Times New Roman" w:hAnsi="Times New Roman" w:cs="Times New Roman"/>
          <w:color w:val="auto"/>
          <w:sz w:val="24"/>
          <w:szCs w:val="24"/>
          <w:lang w:val="en-GB"/>
        </w:rPr>
        <w:lastRenderedPageBreak/>
        <w:t>Proposed Consultancy</w:t>
      </w:r>
    </w:p>
    <w:p w14:paraId="75D8A1F2" w14:textId="77777777" w:rsidR="00C0466D" w:rsidRPr="00C0466D" w:rsidRDefault="00C0466D" w:rsidP="00C0466D">
      <w:pPr>
        <w:rPr>
          <w:rFonts w:ascii="Times New Roman" w:hAnsi="Times New Roman" w:cs="Times New Roman"/>
          <w:sz w:val="8"/>
          <w:szCs w:val="8"/>
          <w:lang w:val="en-GB"/>
        </w:rPr>
      </w:pPr>
    </w:p>
    <w:p w14:paraId="6098FD63" w14:textId="18369204" w:rsidR="00B15573" w:rsidRDefault="00E90149" w:rsidP="00E464EE">
      <w:pPr>
        <w:pStyle w:val="Heading2"/>
        <w:spacing w:before="0" w:after="0" w:line="240" w:lineRule="auto"/>
        <w:rPr>
          <w:rFonts w:ascii="Times New Roman" w:hAnsi="Times New Roman" w:cs="Times New Roman"/>
          <w:b w:val="0"/>
          <w:i/>
          <w:color w:val="auto"/>
          <w:sz w:val="24"/>
          <w:szCs w:val="24"/>
          <w:u w:val="single"/>
          <w:lang w:val="en-GB"/>
        </w:rPr>
      </w:pPr>
      <w:r w:rsidRPr="00C0466D">
        <w:rPr>
          <w:rFonts w:ascii="Times New Roman" w:hAnsi="Times New Roman" w:cs="Times New Roman"/>
          <w:b w:val="0"/>
          <w:i/>
          <w:color w:val="auto"/>
          <w:sz w:val="24"/>
          <w:szCs w:val="24"/>
          <w:u w:val="single"/>
          <w:lang w:val="en-GB"/>
        </w:rPr>
        <w:t>Description of the Assignment</w:t>
      </w:r>
    </w:p>
    <w:p w14:paraId="683DB1FA" w14:textId="78A83B0E" w:rsidR="00B15573" w:rsidRPr="00C0466D" w:rsidRDefault="00C0466D"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10"/>
          <w:szCs w:val="10"/>
          <w:lang w:val="en-GB"/>
        </w:rPr>
        <w:br/>
      </w:r>
      <w:r w:rsidR="00E90149" w:rsidRPr="00C0466D">
        <w:rPr>
          <w:rFonts w:ascii="Times New Roman" w:hAnsi="Times New Roman" w:cs="Times New Roman"/>
          <w:sz w:val="24"/>
          <w:szCs w:val="24"/>
          <w:lang w:val="en-GB"/>
        </w:rPr>
        <w:t>Eradication of PPR is a multi-year endeavour requiring predictable and adequately coordinated resources at national, regional, continental and global levels. The bulk of eradication interventions are implemented by AU Member States through national strategies (vaccination, surveillance, laboratory confirmation, preparedness), while regional and continental coordination is provided by RECs and AU-IBAR/AU-PANVAC, with sustained linkages to the global PPR eradication programme coordinated by FAO and WOAH.</w:t>
      </w:r>
    </w:p>
    <w:p w14:paraId="6B6C147C" w14:textId="77777777" w:rsidR="00E464EE" w:rsidRPr="00C0466D" w:rsidRDefault="00E464EE" w:rsidP="00E464EE">
      <w:pPr>
        <w:spacing w:after="0" w:line="240" w:lineRule="auto"/>
        <w:rPr>
          <w:rFonts w:ascii="Times New Roman" w:hAnsi="Times New Roman" w:cs="Times New Roman"/>
          <w:sz w:val="24"/>
          <w:szCs w:val="24"/>
          <w:lang w:val="en-GB"/>
        </w:rPr>
      </w:pPr>
    </w:p>
    <w:p w14:paraId="21E1BD0E"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Currently, PPR control efforts across Africa are supported by multiple partners and donors operating at country and regional levels, including the European Union and its Member States, other development partners, as well as national governments.</w:t>
      </w:r>
    </w:p>
    <w:p w14:paraId="23F4434B" w14:textId="77777777" w:rsidR="00C57614" w:rsidRPr="00C0466D" w:rsidRDefault="00C57614" w:rsidP="00E464EE">
      <w:pPr>
        <w:spacing w:after="0" w:line="240" w:lineRule="auto"/>
        <w:rPr>
          <w:rFonts w:ascii="Times New Roman" w:hAnsi="Times New Roman" w:cs="Times New Roman"/>
          <w:sz w:val="24"/>
          <w:szCs w:val="24"/>
          <w:lang w:val="en-GB"/>
        </w:rPr>
      </w:pPr>
    </w:p>
    <w:p w14:paraId="6C1E97E0"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Accordingly, Activity 2.2.5 of the project requires AU-IBAR and partners to develop a Resource Mobilisation Plan during the inception phase, with inputs from all project partners, to support the mainstreaming of PPR eradication into national action plans and budgets, strengthen modalities for mobilising resources at REC/continental/global levels, promote coordination of resource mobilisation efforts by NGOs/international organisations and alignment around common objectives, and support a subsequent high-level advocacy meeting within AU political leadership, RECs, Member States and the donor community.</w:t>
      </w:r>
    </w:p>
    <w:p w14:paraId="32CC0F54" w14:textId="77777777" w:rsidR="00E464EE" w:rsidRPr="00C0466D" w:rsidRDefault="00E464EE" w:rsidP="00E464EE">
      <w:pPr>
        <w:spacing w:after="0" w:line="240" w:lineRule="auto"/>
        <w:rPr>
          <w:rFonts w:ascii="Times New Roman" w:hAnsi="Times New Roman" w:cs="Times New Roman"/>
          <w:sz w:val="24"/>
          <w:szCs w:val="24"/>
          <w:lang w:val="en-GB"/>
        </w:rPr>
      </w:pPr>
    </w:p>
    <w:p w14:paraId="6CB56BC0" w14:textId="2F9BE750"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 xml:space="preserve">This consultancy will deliver an implementable plan (strategy + action plan + tools) that PAPS and partners can immediately </w:t>
      </w:r>
      <w:r w:rsidR="00E464EE" w:rsidRPr="00C0466D">
        <w:rPr>
          <w:rFonts w:ascii="Times New Roman" w:hAnsi="Times New Roman" w:cs="Times New Roman"/>
          <w:sz w:val="24"/>
          <w:szCs w:val="24"/>
          <w:lang w:val="en-GB"/>
        </w:rPr>
        <w:t>operationalize</w:t>
      </w:r>
      <w:r w:rsidRPr="00C0466D">
        <w:rPr>
          <w:rFonts w:ascii="Times New Roman" w:hAnsi="Times New Roman" w:cs="Times New Roman"/>
          <w:sz w:val="24"/>
          <w:szCs w:val="24"/>
          <w:lang w:val="en-GB"/>
        </w:rPr>
        <w:t>.</w:t>
      </w:r>
    </w:p>
    <w:p w14:paraId="71C1E891" w14:textId="77777777" w:rsidR="00E464EE" w:rsidRPr="00C0466D" w:rsidRDefault="00E464EE" w:rsidP="00E464EE">
      <w:pPr>
        <w:spacing w:after="0" w:line="240" w:lineRule="auto"/>
        <w:rPr>
          <w:rFonts w:ascii="Times New Roman" w:hAnsi="Times New Roman" w:cs="Times New Roman"/>
          <w:sz w:val="24"/>
          <w:szCs w:val="24"/>
          <w:lang w:val="en-GB"/>
        </w:rPr>
      </w:pPr>
    </w:p>
    <w:p w14:paraId="06F39CDD" w14:textId="11C988E9" w:rsidR="00B15573" w:rsidRPr="00C0466D" w:rsidRDefault="00E90149" w:rsidP="00E464EE">
      <w:pPr>
        <w:spacing w:after="0" w:line="240" w:lineRule="auto"/>
        <w:rPr>
          <w:rFonts w:ascii="Times New Roman" w:hAnsi="Times New Roman" w:cs="Times New Roman"/>
          <w:sz w:val="12"/>
          <w:szCs w:val="12"/>
          <w:lang w:val="en-GB"/>
        </w:rPr>
      </w:pPr>
      <w:r w:rsidRPr="00C0466D">
        <w:rPr>
          <w:rFonts w:ascii="Times New Roman" w:hAnsi="Times New Roman" w:cs="Times New Roman"/>
          <w:sz w:val="24"/>
          <w:szCs w:val="24"/>
          <w:lang w:val="en-GB"/>
        </w:rPr>
        <w:t>The main objective of this consultancy is therefore to provide AU-IBAR, PAPS and project partners with a practical, implementable and partner-validated Resource Mobilisation Plan that translates the strategic ambitions of the Pan-African PPR Eradication Programme into a coherent financing, advocacy and coordination framework.</w:t>
      </w:r>
      <w:r w:rsidR="00C0466D">
        <w:rPr>
          <w:rFonts w:ascii="Times New Roman" w:hAnsi="Times New Roman" w:cs="Times New Roman"/>
          <w:sz w:val="24"/>
          <w:szCs w:val="24"/>
          <w:lang w:val="en-GB"/>
        </w:rPr>
        <w:br/>
      </w:r>
    </w:p>
    <w:p w14:paraId="4AD5845B" w14:textId="7B961C72" w:rsidR="00B15573" w:rsidRPr="00C0466D" w:rsidRDefault="00E90149" w:rsidP="00E464EE">
      <w:pPr>
        <w:pStyle w:val="Heading3"/>
        <w:spacing w:after="0" w:line="240" w:lineRule="auto"/>
        <w:rPr>
          <w:rFonts w:ascii="Times New Roman" w:hAnsi="Times New Roman" w:cs="Times New Roman"/>
          <w:color w:val="auto"/>
          <w:sz w:val="12"/>
          <w:szCs w:val="12"/>
          <w:lang w:val="en-GB"/>
        </w:rPr>
      </w:pPr>
      <w:r w:rsidRPr="00C0466D">
        <w:rPr>
          <w:rFonts w:ascii="Times New Roman" w:hAnsi="Times New Roman" w:cs="Times New Roman"/>
          <w:color w:val="auto"/>
          <w:sz w:val="24"/>
          <w:szCs w:val="24"/>
          <w:lang w:val="en-GB"/>
        </w:rPr>
        <w:t>Specific objectives</w:t>
      </w:r>
      <w:r w:rsidR="00C0466D">
        <w:rPr>
          <w:rFonts w:ascii="Times New Roman" w:hAnsi="Times New Roman" w:cs="Times New Roman"/>
          <w:color w:val="auto"/>
          <w:sz w:val="24"/>
          <w:szCs w:val="24"/>
          <w:lang w:val="en-GB"/>
        </w:rPr>
        <w:br/>
      </w:r>
    </w:p>
    <w:p w14:paraId="7C436821" w14:textId="65DCFF06" w:rsidR="00B15573" w:rsidRPr="00C0466D" w:rsidRDefault="00E90149" w:rsidP="00E464EE">
      <w:pPr>
        <w:pStyle w:val="ListBullet"/>
        <w:spacing w:after="0" w:line="240" w:lineRule="auto"/>
        <w:rPr>
          <w:rFonts w:ascii="Times New Roman" w:hAnsi="Times New Roman" w:cs="Times New Roman"/>
          <w:sz w:val="10"/>
          <w:szCs w:val="10"/>
          <w:lang w:val="en-GB"/>
        </w:rPr>
      </w:pPr>
      <w:r w:rsidRPr="00C0466D">
        <w:rPr>
          <w:rFonts w:ascii="Times New Roman" w:hAnsi="Times New Roman" w:cs="Times New Roman"/>
          <w:sz w:val="24"/>
          <w:szCs w:val="24"/>
          <w:lang w:val="en-GB"/>
        </w:rPr>
        <w:t>Produce an evidence-based mapping of existing and potential resource partners and financing streams for PPR eradication and related small ruminant interventions (donors, partners, NGOs, domestic financing), including fragmentation, financing gaps and coordination opportunities.</w:t>
      </w:r>
      <w:r w:rsidR="00C0466D">
        <w:rPr>
          <w:rFonts w:ascii="Times New Roman" w:hAnsi="Times New Roman" w:cs="Times New Roman"/>
          <w:sz w:val="24"/>
          <w:szCs w:val="24"/>
          <w:lang w:val="en-GB"/>
        </w:rPr>
        <w:br/>
      </w:r>
    </w:p>
    <w:p w14:paraId="33AC782A" w14:textId="77777777" w:rsidR="00C0466D" w:rsidRDefault="00E90149" w:rsidP="00E464EE">
      <w:pPr>
        <w:pStyle w:val="ListBullet"/>
        <w:numPr>
          <w:ilvl w:val="0"/>
          <w:numId w:val="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Define a structured resource mobilisation strategy with clear priorities, target segments and time-bound actions across national, REC, continental and global levels.</w:t>
      </w:r>
    </w:p>
    <w:p w14:paraId="4C245895" w14:textId="77777777" w:rsidR="00C0466D" w:rsidRDefault="00E90149" w:rsidP="00E464EE">
      <w:pPr>
        <w:pStyle w:val="ListBullet"/>
        <w:numPr>
          <w:ilvl w:val="0"/>
          <w:numId w:val="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Provide practical modalities for mainstreaming PPR eradication into national plans and budgets and for improving the timeliness, predictability and strategic use of disbursements.</w:t>
      </w:r>
    </w:p>
    <w:p w14:paraId="026D9C2A" w14:textId="77777777" w:rsidR="00C0466D" w:rsidRDefault="00E90149" w:rsidP="00E464EE">
      <w:pPr>
        <w:pStyle w:val="ListBullet"/>
        <w:numPr>
          <w:ilvl w:val="0"/>
          <w:numId w:val="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Propose coordination modalities to align NGO and donor funding around common programme objectives and reduce duplication, including governance arrangements and a pipeline management mechanism.</w:t>
      </w:r>
    </w:p>
    <w:p w14:paraId="16DE367C" w14:textId="77777777" w:rsidR="00C0466D" w:rsidRDefault="00E90149" w:rsidP="00E464EE">
      <w:pPr>
        <w:pStyle w:val="ListBullet"/>
        <w:numPr>
          <w:ilvl w:val="0"/>
          <w:numId w:val="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Prepare a ready-to-use advocacy and donor engagement package, including an investment case, key messages, templates and an initial package supporting the planned high-level advocacy process.</w:t>
      </w:r>
    </w:p>
    <w:p w14:paraId="7D981E15" w14:textId="37E993F7" w:rsidR="00B15573" w:rsidRPr="00C0466D" w:rsidRDefault="00E90149" w:rsidP="00E464EE">
      <w:pPr>
        <w:pStyle w:val="ListBullet"/>
        <w:numPr>
          <w:ilvl w:val="0"/>
          <w:numId w:val="1"/>
        </w:numPr>
        <w:spacing w:after="0" w:line="240" w:lineRule="auto"/>
        <w:rPr>
          <w:rFonts w:ascii="Times New Roman" w:hAnsi="Times New Roman" w:cs="Times New Roman"/>
          <w:sz w:val="24"/>
          <w:szCs w:val="24"/>
          <w:lang w:val="en-GB"/>
        </w:rPr>
      </w:pPr>
      <w:r w:rsidRPr="00C0466D">
        <w:rPr>
          <w:rFonts w:ascii="Times New Roman" w:hAnsi="Times New Roman" w:cs="Times New Roman"/>
          <w:bCs/>
          <w:sz w:val="24"/>
          <w:szCs w:val="24"/>
          <w:lang w:val="en-GB"/>
        </w:rPr>
        <w:t xml:space="preserve">Identify priority programmatic and investment entry points that can attract broader support for PPR eradication and integrated small ruminant disease control, including </w:t>
      </w:r>
      <w:r w:rsidRPr="00C0466D">
        <w:rPr>
          <w:rFonts w:ascii="Times New Roman" w:hAnsi="Times New Roman" w:cs="Times New Roman"/>
          <w:bCs/>
          <w:sz w:val="24"/>
          <w:szCs w:val="24"/>
          <w:lang w:val="en-GB"/>
        </w:rPr>
        <w:lastRenderedPageBreak/>
        <w:t>surveillance, laboratory systems, vaccination readiness, cross-border coordination, veterinary services strengthening and support to WOAH pathways where relevant.</w:t>
      </w:r>
    </w:p>
    <w:p w14:paraId="4FC6F401" w14:textId="6A306A0F" w:rsidR="00B15573" w:rsidRPr="00C0466D" w:rsidRDefault="00E90149" w:rsidP="00E464EE">
      <w:pPr>
        <w:pStyle w:val="Heading3"/>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Requested services, including suggested methodology</w:t>
      </w:r>
      <w:r w:rsidR="00C0466D">
        <w:rPr>
          <w:rFonts w:ascii="Times New Roman" w:hAnsi="Times New Roman" w:cs="Times New Roman"/>
          <w:color w:val="auto"/>
          <w:sz w:val="24"/>
          <w:szCs w:val="24"/>
          <w:lang w:val="en-GB"/>
        </w:rPr>
        <w:br/>
      </w:r>
    </w:p>
    <w:p w14:paraId="1E8BA541"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consultant shall combine strategic analysis, desk review, stakeholder consultations, financing landscape assessment, donor segmentation, and practical implementation planning. The assignment should result not only in a strategy document, but in a plan that can be used immediately by AU-IBAR, PAPS, RECs and Member States to structure advocacy, develop financing pipelines, and improve coordination of resource mobilisation efforts.</w:t>
      </w:r>
    </w:p>
    <w:p w14:paraId="73DBCFE5" w14:textId="77777777" w:rsidR="00E464EE" w:rsidRPr="00C0466D" w:rsidRDefault="00E464EE" w:rsidP="00E464EE">
      <w:pPr>
        <w:spacing w:after="0" w:line="240" w:lineRule="auto"/>
        <w:rPr>
          <w:rFonts w:ascii="Times New Roman" w:hAnsi="Times New Roman" w:cs="Times New Roman"/>
          <w:sz w:val="24"/>
          <w:szCs w:val="24"/>
          <w:lang w:val="en-GB"/>
        </w:rPr>
      </w:pPr>
    </w:p>
    <w:p w14:paraId="6E4F6EC0" w14:textId="48E13419" w:rsidR="00B15573" w:rsidRPr="00C0466D" w:rsidRDefault="00E90149" w:rsidP="00E464EE">
      <w:pPr>
        <w:spacing w:after="0" w:line="240" w:lineRule="auto"/>
        <w:rPr>
          <w:rFonts w:ascii="Times New Roman" w:hAnsi="Times New Roman" w:cs="Times New Roman"/>
          <w:bCs/>
          <w:sz w:val="24"/>
          <w:szCs w:val="24"/>
          <w:lang w:val="en-GB"/>
        </w:rPr>
      </w:pPr>
      <w:r w:rsidRPr="00C0466D">
        <w:rPr>
          <w:rFonts w:ascii="Times New Roman" w:hAnsi="Times New Roman" w:cs="Times New Roman"/>
          <w:bCs/>
          <w:sz w:val="24"/>
          <w:szCs w:val="24"/>
          <w:lang w:val="en-GB"/>
        </w:rPr>
        <w:t xml:space="preserve">The consultancy should therefore focus on feasibility, </w:t>
      </w:r>
      <w:r w:rsidR="00C0466D" w:rsidRPr="00C0466D">
        <w:rPr>
          <w:rFonts w:ascii="Times New Roman" w:hAnsi="Times New Roman" w:cs="Times New Roman"/>
          <w:bCs/>
          <w:sz w:val="24"/>
          <w:szCs w:val="24"/>
          <w:lang w:val="en-GB"/>
        </w:rPr>
        <w:t>implement ability</w:t>
      </w:r>
      <w:r w:rsidRPr="00C0466D">
        <w:rPr>
          <w:rFonts w:ascii="Times New Roman" w:hAnsi="Times New Roman" w:cs="Times New Roman"/>
          <w:bCs/>
          <w:sz w:val="24"/>
          <w:szCs w:val="24"/>
          <w:lang w:val="en-GB"/>
        </w:rPr>
        <w:t>, institutional ownership and operational usability, with particular attention to the different roles of Member States, RECs, AU-IBAR, AU-PANVAC, FAO, WOAH and other partners in the financing ecosystem of PPR eradication.</w:t>
      </w:r>
    </w:p>
    <w:p w14:paraId="594A2403" w14:textId="77777777" w:rsidR="00E464EE" w:rsidRPr="00C0466D" w:rsidRDefault="00E464EE" w:rsidP="00E464EE">
      <w:pPr>
        <w:spacing w:after="0" w:line="240" w:lineRule="auto"/>
        <w:rPr>
          <w:rFonts w:ascii="Times New Roman" w:hAnsi="Times New Roman" w:cs="Times New Roman"/>
          <w:bCs/>
          <w:sz w:val="24"/>
          <w:szCs w:val="24"/>
          <w:lang w:val="en-GB"/>
        </w:rPr>
      </w:pPr>
    </w:p>
    <w:p w14:paraId="7858A82B" w14:textId="37254E24" w:rsidR="00B15573" w:rsidRPr="00C0466D" w:rsidRDefault="00E90149" w:rsidP="00E464EE">
      <w:pPr>
        <w:pStyle w:val="Heading2"/>
        <w:spacing w:after="0" w:line="240" w:lineRule="auto"/>
        <w:rPr>
          <w:rFonts w:ascii="Times New Roman" w:hAnsi="Times New Roman" w:cs="Times New Roman"/>
          <w:b w:val="0"/>
          <w:i/>
          <w:color w:val="auto"/>
          <w:sz w:val="10"/>
          <w:szCs w:val="10"/>
          <w:u w:val="single"/>
          <w:lang w:val="en-GB"/>
        </w:rPr>
      </w:pPr>
      <w:r w:rsidRPr="00C0466D">
        <w:rPr>
          <w:rFonts w:ascii="Times New Roman" w:hAnsi="Times New Roman" w:cs="Times New Roman"/>
          <w:b w:val="0"/>
          <w:i/>
          <w:color w:val="auto"/>
          <w:sz w:val="24"/>
          <w:szCs w:val="24"/>
          <w:u w:val="single"/>
          <w:lang w:val="en-GB"/>
        </w:rPr>
        <w:t>Tasks</w:t>
      </w:r>
      <w:r w:rsidR="00C0466D" w:rsidRPr="00C0466D">
        <w:rPr>
          <w:rFonts w:ascii="Times New Roman" w:hAnsi="Times New Roman" w:cs="Times New Roman"/>
          <w:b w:val="0"/>
          <w:i/>
          <w:color w:val="auto"/>
          <w:sz w:val="24"/>
          <w:szCs w:val="24"/>
          <w:u w:val="single"/>
          <w:lang w:val="en-GB"/>
        </w:rPr>
        <w:br/>
      </w:r>
    </w:p>
    <w:p w14:paraId="7C387387" w14:textId="7A385240" w:rsidR="00B15573" w:rsidRDefault="00E90149" w:rsidP="00E464EE">
      <w:pPr>
        <w:pStyle w:val="ListBullet"/>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Review key programme, policy, strategy and background documents related to the Pan-African PPR Eradication Programme, the EU-supported Action ACT-61965, AU-IBAR strategic priorities, relevant REC frameworks, national PPR strategies where available, and broader reference materials related to livestock financing, animal health investment, advocacy and resource mobilisation.</w:t>
      </w:r>
    </w:p>
    <w:p w14:paraId="5DB85696" w14:textId="77777777" w:rsidR="00C0466D" w:rsidRPr="00C0466D" w:rsidRDefault="00C0466D" w:rsidP="00E464EE">
      <w:pPr>
        <w:pStyle w:val="ListBullet"/>
        <w:spacing w:after="0" w:line="240" w:lineRule="auto"/>
        <w:rPr>
          <w:rFonts w:ascii="Times New Roman" w:hAnsi="Times New Roman" w:cs="Times New Roman"/>
          <w:sz w:val="24"/>
          <w:szCs w:val="24"/>
          <w:lang w:val="en-GB"/>
        </w:rPr>
      </w:pPr>
    </w:p>
    <w:p w14:paraId="280F1F8A"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Prepare and submit an Inception Report setting out the consultant’s understanding of the assignment, methodology, analytical framework, work plan, consultation plan, deliverable structure, proposed validation approach, risks, assumptions and mitigation measures, applicable legal and institutional framework, and relevant national, regional and international best practices.</w:t>
      </w:r>
    </w:p>
    <w:p w14:paraId="7E310B05"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Map current PPR financing and implementation support across Africa by region, thematic area, instrument and actor, covering domestic financing, donor and partner support, NGO and international organisation interventions, and potential private sector or blended finance opportunities where relevant.</w:t>
      </w:r>
    </w:p>
    <w:p w14:paraId="54BE9981"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Produce a Donor and Partner Intelligence Matrix identifying for each priority partner the thematic focus, geographic scope, typical financing instruments, funding windows, entry points, compliance considerations, current engagements and recommended engagement strategy.</w:t>
      </w:r>
    </w:p>
    <w:p w14:paraId="665D4C00"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Diagnose fragmentation, duplication and coordination bottlenecks in the current financing landscape and propose a practical coordination architecture for resource mobilisation across national, REC, continental and global levels.</w:t>
      </w:r>
    </w:p>
    <w:p w14:paraId="31E25F2A"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Identify and structure a set of fundable programme priorities or investment packages aligned with Output 2.2 and the wider pathway to PPR eradication, including governance and coordination, vaccination preparedness and implementation enablers, surveillance and laboratory systems, data and reporting systems, cross-border and episystem-based interventions, WOAH pathways where relevant, and integrated small ruminant health approaches.</w:t>
      </w:r>
    </w:p>
    <w:p w14:paraId="1C468080"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Develop a comprehensive Resource Mobilisation Plan that includes strategic framing, resource mobilisation pathways, donor segmentation, domestic financing approaches, governance and coordination arrangements, time-bound action plan, pipeline and accountability modalities, and a practical monitoring, evaluation and reporting framework for resource mobilisation.</w:t>
      </w:r>
    </w:p>
    <w:p w14:paraId="034F9AA7"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lastRenderedPageBreak/>
        <w:t>Develop a Resource Mobilisation Toolkit including an investment case or advocacy narrative, stakeholder-tailored key messages, donor brief template, concept note template, investment package one-pagers, pipeline tracker structure, stakeholder engagement tracker, and an outline of a pitch deck for AU-IBAR/PAPS use.</w:t>
      </w:r>
    </w:p>
    <w:p w14:paraId="4A0F2B1B"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Conduct structured consultations with AU-IBAR/PAPS, AU-PANVAC, RECs, FAO, WOAH and selected stakeholders relevant to resource mobilisation, and present the draft outputs for validation in a format agreed with AU-IBAR.</w:t>
      </w:r>
    </w:p>
    <w:p w14:paraId="5CA5872E"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Prepare and submit the Final Resource Mobilisation Plan, the Final Consultancy Report summarising the process and key recommendations, a comment-response matrix showing how comments were addressed, and a list of final deliverables and tools produced under the assignment.</w:t>
      </w:r>
    </w:p>
    <w:p w14:paraId="310840FB" w14:textId="77777777" w:rsid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Prepare a high-level advocacy meeting package linked to Activity 2.2.5, including a concept note, proposed agenda, participant categories, briefing note, speaking points and a follow-up commitment tracking mechanism.</w:t>
      </w:r>
    </w:p>
    <w:p w14:paraId="3CC4360C" w14:textId="258D1917" w:rsidR="00B15573" w:rsidRPr="00C0466D" w:rsidRDefault="00E90149" w:rsidP="00E464EE">
      <w:pPr>
        <w:pStyle w:val="ListBullet"/>
        <w:numPr>
          <w:ilvl w:val="0"/>
          <w:numId w:val="22"/>
        </w:numPr>
        <w:spacing w:after="0" w:line="240" w:lineRule="auto"/>
        <w:rPr>
          <w:rFonts w:ascii="Times New Roman" w:hAnsi="Times New Roman" w:cs="Times New Roman"/>
          <w:sz w:val="24"/>
          <w:szCs w:val="24"/>
          <w:lang w:val="en-GB"/>
        </w:rPr>
      </w:pPr>
      <w:r w:rsidRPr="00C0466D">
        <w:rPr>
          <w:rFonts w:ascii="Times New Roman" w:hAnsi="Times New Roman" w:cs="Times New Roman"/>
          <w:bCs/>
          <w:sz w:val="24"/>
          <w:szCs w:val="24"/>
          <w:lang w:val="en-GB"/>
        </w:rPr>
        <w:t>Ensure that all recommendations are presented in a manner that is directly usable by AU-IBAR and PAPS for immediate follow-up with donors, AU political organs, RECs, Member States and implementing partners.</w:t>
      </w:r>
    </w:p>
    <w:p w14:paraId="4E5A4ED6" w14:textId="02988CCF" w:rsidR="00B15573" w:rsidRPr="00C0466D" w:rsidRDefault="00E90149" w:rsidP="00E464EE">
      <w:pPr>
        <w:pStyle w:val="Heading3"/>
        <w:spacing w:after="0" w:line="240" w:lineRule="auto"/>
        <w:rPr>
          <w:rFonts w:ascii="Times New Roman" w:hAnsi="Times New Roman" w:cs="Times New Roman"/>
          <w:b w:val="0"/>
          <w:color w:val="auto"/>
          <w:sz w:val="10"/>
          <w:szCs w:val="10"/>
          <w:u w:val="single"/>
          <w:lang w:val="en-GB"/>
        </w:rPr>
      </w:pPr>
      <w:r w:rsidRPr="00C0466D">
        <w:rPr>
          <w:rFonts w:ascii="Times New Roman" w:hAnsi="Times New Roman" w:cs="Times New Roman"/>
          <w:b w:val="0"/>
          <w:color w:val="auto"/>
          <w:sz w:val="24"/>
          <w:szCs w:val="24"/>
          <w:u w:val="single"/>
          <w:lang w:val="en-GB"/>
        </w:rPr>
        <w:t>Indicative analytical questions</w:t>
      </w:r>
      <w:r w:rsidR="00C0466D" w:rsidRPr="00C0466D">
        <w:rPr>
          <w:rFonts w:ascii="Times New Roman" w:hAnsi="Times New Roman" w:cs="Times New Roman"/>
          <w:b w:val="0"/>
          <w:color w:val="auto"/>
          <w:sz w:val="24"/>
          <w:szCs w:val="24"/>
          <w:u w:val="single"/>
          <w:lang w:val="en-GB"/>
        </w:rPr>
        <w:br/>
      </w:r>
    </w:p>
    <w:p w14:paraId="5A0DE49E" w14:textId="77777777" w:rsidR="00C0466D" w:rsidRDefault="00E90149" w:rsidP="00E464EE">
      <w:pPr>
        <w:pStyle w:val="ListBullet"/>
        <w:numPr>
          <w:ilvl w:val="0"/>
          <w:numId w:val="2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What are the main financing gaps, fragmentation patterns and coordination bottlenecks currently affecting implementation of the Pan-African PPR Eradication Programme?</w:t>
      </w:r>
    </w:p>
    <w:p w14:paraId="31F6554B" w14:textId="77777777" w:rsidR="00C0466D" w:rsidRDefault="00E90149" w:rsidP="00E464EE">
      <w:pPr>
        <w:pStyle w:val="ListBullet"/>
        <w:numPr>
          <w:ilvl w:val="0"/>
          <w:numId w:val="2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What domestic, regional, continental and external financing pathways are most realistic and actionable for supporting accelerated PPR eradication and related small ruminant disease control?</w:t>
      </w:r>
    </w:p>
    <w:p w14:paraId="224D8F4F" w14:textId="77777777" w:rsidR="00C0466D" w:rsidRDefault="00E90149" w:rsidP="00E464EE">
      <w:pPr>
        <w:pStyle w:val="ListBullet"/>
        <w:numPr>
          <w:ilvl w:val="0"/>
          <w:numId w:val="2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What types of fundable investment packages are most likely to attract donor, partner, NGO, public sector or blended support under the current PPR eradication agenda?</w:t>
      </w:r>
    </w:p>
    <w:p w14:paraId="36CEB516" w14:textId="77777777" w:rsidR="00C0466D" w:rsidRDefault="00E90149" w:rsidP="00E464EE">
      <w:pPr>
        <w:pStyle w:val="ListBullet"/>
        <w:numPr>
          <w:ilvl w:val="0"/>
          <w:numId w:val="2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What governance and coordination arrangements are required to improve coherence, accountability and follow-through in resource mobilisation?</w:t>
      </w:r>
    </w:p>
    <w:p w14:paraId="15AC12D4" w14:textId="51C2BCB8" w:rsidR="00B15573" w:rsidRPr="00C0466D" w:rsidRDefault="00E90149" w:rsidP="00E464EE">
      <w:pPr>
        <w:pStyle w:val="ListBullet"/>
        <w:numPr>
          <w:ilvl w:val="0"/>
          <w:numId w:val="2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What advocacy messages, donor engagement tools and pipeline mechanisms are needed to support AU-IBAR and PAPS in moving from strategic intent to actual financing commitments?</w:t>
      </w:r>
    </w:p>
    <w:p w14:paraId="3B99C55F" w14:textId="77777777" w:rsidR="00294183" w:rsidRPr="00C0466D" w:rsidRDefault="00294183" w:rsidP="00294183">
      <w:pPr>
        <w:pStyle w:val="ListBullet"/>
        <w:spacing w:after="0" w:line="240" w:lineRule="auto"/>
        <w:ind w:left="360" w:hanging="360"/>
        <w:rPr>
          <w:rFonts w:ascii="Times New Roman" w:hAnsi="Times New Roman" w:cs="Times New Roman"/>
          <w:sz w:val="24"/>
          <w:szCs w:val="24"/>
          <w:lang w:val="en-GB"/>
        </w:rPr>
      </w:pPr>
    </w:p>
    <w:p w14:paraId="2074DB38" w14:textId="77777777" w:rsidR="003E4DF7" w:rsidRDefault="003E4DF7" w:rsidP="00E464EE">
      <w:pPr>
        <w:pStyle w:val="Heading2"/>
        <w:spacing w:after="0" w:line="240" w:lineRule="auto"/>
        <w:rPr>
          <w:rFonts w:ascii="Times New Roman" w:hAnsi="Times New Roman" w:cs="Times New Roman"/>
          <w:b w:val="0"/>
          <w:i/>
          <w:color w:val="auto"/>
          <w:sz w:val="24"/>
          <w:szCs w:val="24"/>
          <w:u w:val="single"/>
          <w:lang w:val="en-GB"/>
        </w:rPr>
      </w:pPr>
    </w:p>
    <w:p w14:paraId="3C71B826" w14:textId="77777777" w:rsidR="003E4DF7" w:rsidRDefault="003E4DF7" w:rsidP="00E464EE">
      <w:pPr>
        <w:pStyle w:val="Heading2"/>
        <w:spacing w:after="0" w:line="240" w:lineRule="auto"/>
        <w:rPr>
          <w:rFonts w:ascii="Times New Roman" w:hAnsi="Times New Roman" w:cs="Times New Roman"/>
          <w:b w:val="0"/>
          <w:i/>
          <w:color w:val="auto"/>
          <w:sz w:val="24"/>
          <w:szCs w:val="24"/>
          <w:u w:val="single"/>
          <w:lang w:val="en-GB"/>
        </w:rPr>
      </w:pPr>
    </w:p>
    <w:p w14:paraId="055B0771" w14:textId="3E0AB941" w:rsidR="00B15573" w:rsidRPr="00C0466D" w:rsidRDefault="00E90149" w:rsidP="00E464EE">
      <w:pPr>
        <w:pStyle w:val="Heading2"/>
        <w:spacing w:after="0" w:line="240" w:lineRule="auto"/>
        <w:rPr>
          <w:rFonts w:ascii="Times New Roman" w:hAnsi="Times New Roman" w:cs="Times New Roman"/>
          <w:b w:val="0"/>
          <w:i/>
          <w:color w:val="auto"/>
          <w:sz w:val="24"/>
          <w:szCs w:val="24"/>
          <w:u w:val="single"/>
          <w:lang w:val="en-GB"/>
        </w:rPr>
      </w:pPr>
      <w:r w:rsidRPr="00C0466D">
        <w:rPr>
          <w:rFonts w:ascii="Times New Roman" w:hAnsi="Times New Roman" w:cs="Times New Roman"/>
          <w:b w:val="0"/>
          <w:i/>
          <w:color w:val="auto"/>
          <w:sz w:val="24"/>
          <w:szCs w:val="24"/>
          <w:u w:val="single"/>
          <w:lang w:val="en-GB"/>
        </w:rPr>
        <w:t>Expected Outputs</w:t>
      </w:r>
    </w:p>
    <w:p w14:paraId="77CF54AE" w14:textId="77777777" w:rsidR="00C0466D" w:rsidRPr="00C0466D" w:rsidRDefault="00C0466D" w:rsidP="00C0466D">
      <w:pPr>
        <w:rPr>
          <w:sz w:val="10"/>
          <w:szCs w:val="10"/>
          <w:lang w:val="en-GB"/>
        </w:rPr>
      </w:pPr>
    </w:p>
    <w:tbl>
      <w:tblPr>
        <w:tblStyle w:val="PlainTable5"/>
        <w:tblW w:w="9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860"/>
        <w:gridCol w:w="2447"/>
      </w:tblGrid>
      <w:tr w:rsidR="00E464EE" w:rsidRPr="00C0466D" w14:paraId="31D99012" w14:textId="77777777" w:rsidTr="00DA2711">
        <w:trPr>
          <w:cnfStyle w:val="100000000000" w:firstRow="1" w:lastRow="0" w:firstColumn="0" w:lastColumn="0" w:oddVBand="0" w:evenVBand="0" w:oddHBand="0" w:evenHBand="0" w:firstRowFirstColumn="0" w:firstRowLastColumn="0" w:lastRowFirstColumn="0" w:lastRowLastColumn="0"/>
          <w:trHeight w:val="168"/>
        </w:trPr>
        <w:tc>
          <w:tcPr>
            <w:cnfStyle w:val="001000000100" w:firstRow="0" w:lastRow="0" w:firstColumn="1" w:lastColumn="0" w:oddVBand="0" w:evenVBand="0" w:oddHBand="0" w:evenHBand="0" w:firstRowFirstColumn="1" w:firstRowLastColumn="0" w:lastRowFirstColumn="0" w:lastRowLastColumn="0"/>
            <w:tcW w:w="2320" w:type="dxa"/>
            <w:tcBorders>
              <w:bottom w:val="none" w:sz="0" w:space="0" w:color="auto"/>
              <w:right w:val="none" w:sz="0" w:space="0" w:color="auto"/>
            </w:tcBorders>
          </w:tcPr>
          <w:p w14:paraId="103924EA" w14:textId="77777777" w:rsidR="00B15573" w:rsidRPr="00C0466D" w:rsidRDefault="00E90149" w:rsidP="00E464EE">
            <w:pPr>
              <w:jc w:val="center"/>
              <w:rPr>
                <w:rFonts w:ascii="Times New Roman" w:hAnsi="Times New Roman" w:cs="Times New Roman"/>
                <w:sz w:val="24"/>
                <w:szCs w:val="24"/>
                <w:lang w:val="en-GB"/>
              </w:rPr>
            </w:pPr>
            <w:r w:rsidRPr="00C0466D">
              <w:rPr>
                <w:rFonts w:ascii="Times New Roman" w:hAnsi="Times New Roman" w:cs="Times New Roman"/>
                <w:b/>
                <w:sz w:val="24"/>
                <w:szCs w:val="24"/>
                <w:lang w:val="en-GB"/>
              </w:rPr>
              <w:t>Deliverable</w:t>
            </w:r>
          </w:p>
        </w:tc>
        <w:tc>
          <w:tcPr>
            <w:tcW w:w="0" w:type="auto"/>
            <w:tcBorders>
              <w:bottom w:val="none" w:sz="0" w:space="0" w:color="auto"/>
            </w:tcBorders>
          </w:tcPr>
          <w:p w14:paraId="7B49D496" w14:textId="77777777" w:rsidR="00B15573" w:rsidRPr="00C0466D" w:rsidRDefault="00E90149" w:rsidP="00E4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b/>
                <w:sz w:val="24"/>
                <w:szCs w:val="24"/>
                <w:lang w:val="en-GB"/>
              </w:rPr>
              <w:t>Content</w:t>
            </w:r>
          </w:p>
        </w:tc>
        <w:tc>
          <w:tcPr>
            <w:tcW w:w="0" w:type="auto"/>
            <w:tcBorders>
              <w:bottom w:val="none" w:sz="0" w:space="0" w:color="auto"/>
            </w:tcBorders>
          </w:tcPr>
          <w:p w14:paraId="5A6D6571" w14:textId="77777777" w:rsidR="00B15573" w:rsidRPr="00C0466D" w:rsidRDefault="00E90149" w:rsidP="00E464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b/>
                <w:sz w:val="24"/>
                <w:szCs w:val="24"/>
                <w:lang w:val="en-GB"/>
              </w:rPr>
              <w:t>Indicative timing</w:t>
            </w:r>
          </w:p>
        </w:tc>
      </w:tr>
      <w:tr w:rsidR="00E464EE" w:rsidRPr="00C0466D" w14:paraId="0B64AA25" w14:textId="77777777" w:rsidTr="00DA2711">
        <w:trPr>
          <w:cnfStyle w:val="000000100000" w:firstRow="0" w:lastRow="0" w:firstColumn="0" w:lastColumn="0" w:oddVBand="0" w:evenVBand="0" w:oddHBand="1" w:evenHBand="0" w:firstRowFirstColumn="0" w:firstRowLastColumn="0" w:lastRowFirstColumn="0" w:lastRowLastColumn="0"/>
          <w:trHeight w:val="1012"/>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0278CB39" w14:textId="77777777"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t>Inception Report</w:t>
            </w:r>
          </w:p>
        </w:tc>
        <w:tc>
          <w:tcPr>
            <w:tcW w:w="0" w:type="auto"/>
          </w:tcPr>
          <w:p w14:paraId="6F190486"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Understanding of the assignment, methodology, analytical framework, consultation plan, work plan, deliverable structure, validation approach, risk assumptions, legal and institutional framework, best practices and annexes.</w:t>
            </w:r>
          </w:p>
        </w:tc>
        <w:tc>
          <w:tcPr>
            <w:tcW w:w="0" w:type="auto"/>
          </w:tcPr>
          <w:p w14:paraId="2DCF7913"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Within 7 calendar days from contract signature</w:t>
            </w:r>
          </w:p>
        </w:tc>
      </w:tr>
      <w:tr w:rsidR="00E464EE" w:rsidRPr="00C0466D" w14:paraId="67D99E9F" w14:textId="77777777" w:rsidTr="00DA2711">
        <w:trPr>
          <w:trHeight w:val="836"/>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2FDFF18F" w14:textId="77777777"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t>Donor and Partner Intelligence Matrix</w:t>
            </w:r>
          </w:p>
        </w:tc>
        <w:tc>
          <w:tcPr>
            <w:tcW w:w="0" w:type="auto"/>
          </w:tcPr>
          <w:p w14:paraId="3D42C38E"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Structured mapping of key financing actors, engagement opportunities, compliance considerations and recommended next steps.</w:t>
            </w:r>
          </w:p>
        </w:tc>
        <w:tc>
          <w:tcPr>
            <w:tcW w:w="0" w:type="auto"/>
          </w:tcPr>
          <w:p w14:paraId="4554F8CD"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Together with the draft analytical phase outputs, as agreed in the approved work plan</w:t>
            </w:r>
          </w:p>
        </w:tc>
      </w:tr>
      <w:tr w:rsidR="00E464EE" w:rsidRPr="00C0466D" w14:paraId="648B4C72" w14:textId="77777777" w:rsidTr="00DA271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22A724E9" w14:textId="2DC9F5C2"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lastRenderedPageBreak/>
              <w:t xml:space="preserve">Draft Resource </w:t>
            </w:r>
            <w:r w:rsidR="00E464EE" w:rsidRPr="00DA2711">
              <w:rPr>
                <w:rFonts w:ascii="Times New Roman" w:hAnsi="Times New Roman" w:cs="Times New Roman"/>
                <w:b/>
                <w:i w:val="0"/>
                <w:sz w:val="24"/>
                <w:szCs w:val="24"/>
                <w:lang w:val="en-GB"/>
              </w:rPr>
              <w:t>Mobilization</w:t>
            </w:r>
            <w:r w:rsidRPr="00DA2711">
              <w:rPr>
                <w:rFonts w:ascii="Times New Roman" w:hAnsi="Times New Roman" w:cs="Times New Roman"/>
                <w:b/>
                <w:i w:val="0"/>
                <w:sz w:val="24"/>
                <w:szCs w:val="24"/>
                <w:lang w:val="en-GB"/>
              </w:rPr>
              <w:t xml:space="preserve"> Plan</w:t>
            </w:r>
          </w:p>
        </w:tc>
        <w:tc>
          <w:tcPr>
            <w:tcW w:w="0" w:type="auto"/>
          </w:tcPr>
          <w:p w14:paraId="013FCEBF"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Draft plan with executive summary, financing landscape analysis, strategic framing, investment packages, coordination and governance arrangements, action plan, resource mobilisation MEL framework, toolkit and annexes.</w:t>
            </w:r>
          </w:p>
        </w:tc>
        <w:tc>
          <w:tcPr>
            <w:tcW w:w="0" w:type="auto"/>
          </w:tcPr>
          <w:p w14:paraId="07EB2F89"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By mid-assignment, as agreed in the approved work plan</w:t>
            </w:r>
          </w:p>
        </w:tc>
      </w:tr>
      <w:tr w:rsidR="00E464EE" w:rsidRPr="00C0466D" w14:paraId="75F53A74" w14:textId="77777777" w:rsidTr="00DA2711">
        <w:trPr>
          <w:trHeight w:val="674"/>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4F00A72A" w14:textId="77777777"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t>Validation Presentation</w:t>
            </w:r>
          </w:p>
        </w:tc>
        <w:tc>
          <w:tcPr>
            <w:tcW w:w="0" w:type="auto"/>
          </w:tcPr>
          <w:p w14:paraId="6719CE12"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PowerPoint summary of key findings, strategic recommendations, financing pathways, investment packages and next steps for AU-IBAR-led review and validation.</w:t>
            </w:r>
          </w:p>
        </w:tc>
        <w:tc>
          <w:tcPr>
            <w:tcW w:w="0" w:type="auto"/>
          </w:tcPr>
          <w:p w14:paraId="6403843E"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Together with the draft report</w:t>
            </w:r>
          </w:p>
        </w:tc>
      </w:tr>
      <w:tr w:rsidR="00E464EE" w:rsidRPr="00C0466D" w14:paraId="327FD069" w14:textId="77777777" w:rsidTr="00DA2711">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5BD05E9D" w14:textId="090AC268"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t xml:space="preserve">Final Resource </w:t>
            </w:r>
            <w:r w:rsidR="00E464EE" w:rsidRPr="00DA2711">
              <w:rPr>
                <w:rFonts w:ascii="Times New Roman" w:hAnsi="Times New Roman" w:cs="Times New Roman"/>
                <w:b/>
                <w:i w:val="0"/>
                <w:sz w:val="24"/>
                <w:szCs w:val="24"/>
                <w:lang w:val="en-GB"/>
              </w:rPr>
              <w:t>Mobilization</w:t>
            </w:r>
            <w:r w:rsidRPr="00DA2711">
              <w:rPr>
                <w:rFonts w:ascii="Times New Roman" w:hAnsi="Times New Roman" w:cs="Times New Roman"/>
                <w:b/>
                <w:i w:val="0"/>
                <w:sz w:val="24"/>
                <w:szCs w:val="24"/>
                <w:lang w:val="en-GB"/>
              </w:rPr>
              <w:t xml:space="preserve"> Plan</w:t>
            </w:r>
          </w:p>
        </w:tc>
        <w:tc>
          <w:tcPr>
            <w:tcW w:w="0" w:type="auto"/>
          </w:tcPr>
          <w:p w14:paraId="63CA8B38"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Final revised plan incorporating consolidated comments, plus comment-response matrix and concise executive summary for decision-makers.</w:t>
            </w:r>
          </w:p>
        </w:tc>
        <w:tc>
          <w:tcPr>
            <w:tcW w:w="0" w:type="auto"/>
          </w:tcPr>
          <w:p w14:paraId="6C4BC98B"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Within 15 calendar days after receipt of consolidated comments</w:t>
            </w:r>
          </w:p>
        </w:tc>
      </w:tr>
      <w:tr w:rsidR="00E464EE" w:rsidRPr="00C0466D" w14:paraId="7095CD05" w14:textId="77777777" w:rsidTr="00DA2711">
        <w:trPr>
          <w:trHeight w:val="843"/>
        </w:trPr>
        <w:tc>
          <w:tcPr>
            <w:cnfStyle w:val="001000000000" w:firstRow="0" w:lastRow="0" w:firstColumn="1" w:lastColumn="0" w:oddVBand="0" w:evenVBand="0" w:oddHBand="0" w:evenHBand="0" w:firstRowFirstColumn="0" w:firstRowLastColumn="0" w:lastRowFirstColumn="0" w:lastRowLastColumn="0"/>
            <w:tcW w:w="2320" w:type="dxa"/>
            <w:tcBorders>
              <w:right w:val="none" w:sz="0" w:space="0" w:color="auto"/>
            </w:tcBorders>
          </w:tcPr>
          <w:p w14:paraId="6C6B09CF" w14:textId="77777777" w:rsidR="00B15573" w:rsidRPr="00DA2711" w:rsidRDefault="00E90149" w:rsidP="00C0466D">
            <w:pPr>
              <w:jc w:val="left"/>
              <w:rPr>
                <w:rFonts w:ascii="Times New Roman" w:hAnsi="Times New Roman" w:cs="Times New Roman"/>
                <w:b/>
                <w:i w:val="0"/>
                <w:sz w:val="24"/>
                <w:szCs w:val="24"/>
                <w:lang w:val="en-GB"/>
              </w:rPr>
            </w:pPr>
            <w:r w:rsidRPr="00DA2711">
              <w:rPr>
                <w:rFonts w:ascii="Times New Roman" w:hAnsi="Times New Roman" w:cs="Times New Roman"/>
                <w:b/>
                <w:i w:val="0"/>
                <w:sz w:val="24"/>
                <w:szCs w:val="24"/>
                <w:lang w:val="en-GB"/>
              </w:rPr>
              <w:t>Final Consultancy Report and Advocacy Package</w:t>
            </w:r>
          </w:p>
        </w:tc>
        <w:tc>
          <w:tcPr>
            <w:tcW w:w="0" w:type="auto"/>
          </w:tcPr>
          <w:p w14:paraId="616436D8"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Short process report, final list of deliverables produced, and high-level advocacy meeting package including concept note, agenda, briefing note, speaking points and commitment tracker.</w:t>
            </w:r>
          </w:p>
        </w:tc>
        <w:tc>
          <w:tcPr>
            <w:tcW w:w="0" w:type="auto"/>
          </w:tcPr>
          <w:p w14:paraId="5C98E4FE"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At final submission stage</w:t>
            </w:r>
          </w:p>
        </w:tc>
      </w:tr>
    </w:tbl>
    <w:p w14:paraId="138613EA" w14:textId="77777777" w:rsidR="00C0466D" w:rsidRDefault="00C0466D" w:rsidP="00E464EE">
      <w:pPr>
        <w:pStyle w:val="Heading2"/>
        <w:spacing w:after="0" w:line="240" w:lineRule="auto"/>
        <w:rPr>
          <w:rFonts w:ascii="Times New Roman" w:hAnsi="Times New Roman" w:cs="Times New Roman"/>
          <w:color w:val="auto"/>
          <w:sz w:val="24"/>
          <w:szCs w:val="24"/>
          <w:lang w:val="en-GB"/>
        </w:rPr>
      </w:pPr>
    </w:p>
    <w:p w14:paraId="3DE73679" w14:textId="3E435216" w:rsidR="00B15573" w:rsidRPr="00C0466D" w:rsidRDefault="00E90149" w:rsidP="00E464EE">
      <w:pPr>
        <w:pStyle w:val="Heading2"/>
        <w:spacing w:after="0" w:line="240" w:lineRule="auto"/>
        <w:rPr>
          <w:rFonts w:ascii="Times New Roman" w:hAnsi="Times New Roman" w:cs="Times New Roman"/>
          <w:b w:val="0"/>
          <w:i/>
          <w:color w:val="auto"/>
          <w:sz w:val="24"/>
          <w:szCs w:val="24"/>
          <w:u w:val="single"/>
          <w:lang w:val="en-GB"/>
        </w:rPr>
      </w:pPr>
      <w:r w:rsidRPr="00C0466D">
        <w:rPr>
          <w:rFonts w:ascii="Times New Roman" w:hAnsi="Times New Roman" w:cs="Times New Roman"/>
          <w:b w:val="0"/>
          <w:i/>
          <w:color w:val="auto"/>
          <w:sz w:val="24"/>
          <w:szCs w:val="24"/>
          <w:u w:val="single"/>
          <w:lang w:val="en-GB"/>
        </w:rPr>
        <w:t>Proposed Methodology</w:t>
      </w:r>
    </w:p>
    <w:p w14:paraId="10142344" w14:textId="77777777" w:rsidR="00C0466D" w:rsidRPr="00C0466D" w:rsidRDefault="00C0466D" w:rsidP="00C0466D">
      <w:pPr>
        <w:rPr>
          <w:sz w:val="6"/>
          <w:szCs w:val="6"/>
          <w:lang w:val="en-GB"/>
        </w:rPr>
      </w:pPr>
    </w:p>
    <w:p w14:paraId="6A218AF5" w14:textId="7777777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Desk review of programme, policy, strategic and financing reference documents.</w:t>
      </w:r>
    </w:p>
    <w:p w14:paraId="23DCD264" w14:textId="7777777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Stakeholder mapping and targeted consultations with AU-IBAR, PAPS, AU-PANVAC, RECs, FAO, WOAH, selected Member States, relevant NGOs, development partners and other financing actors.</w:t>
      </w:r>
    </w:p>
    <w:p w14:paraId="698003B1" w14:textId="4DB0913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 xml:space="preserve">Financing landscape </w:t>
      </w:r>
      <w:r w:rsidR="00E464EE" w:rsidRPr="00C0466D">
        <w:rPr>
          <w:rFonts w:ascii="Times New Roman" w:hAnsi="Times New Roman" w:cs="Times New Roman"/>
          <w:sz w:val="24"/>
          <w:szCs w:val="24"/>
          <w:lang w:val="en-GB"/>
        </w:rPr>
        <w:t>assessments</w:t>
      </w:r>
      <w:r w:rsidRPr="00C0466D">
        <w:rPr>
          <w:rFonts w:ascii="Times New Roman" w:hAnsi="Times New Roman" w:cs="Times New Roman"/>
          <w:sz w:val="24"/>
          <w:szCs w:val="24"/>
          <w:lang w:val="en-GB"/>
        </w:rPr>
        <w:t xml:space="preserve"> covering domestic, donor, partner and other relevant financing channels.</w:t>
      </w:r>
    </w:p>
    <w:p w14:paraId="6F1A946F" w14:textId="7777777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Development of analytical and practical tools, including donor intelligence matrix, pipeline tracker, advocacy package and implementation-oriented resource mobilisation toolkit.</w:t>
      </w:r>
    </w:p>
    <w:p w14:paraId="69BD5F2E" w14:textId="7777777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Validation of draft findings and refinement of the final outputs based on consolidated comments from AU-IBAR and designated stakeholders.</w:t>
      </w:r>
    </w:p>
    <w:p w14:paraId="20F96777" w14:textId="77777777" w:rsidR="00B15573" w:rsidRPr="00C0466D" w:rsidRDefault="00E90149" w:rsidP="00E464EE">
      <w:pPr>
        <w:pStyle w:val="ListBullet"/>
        <w:numPr>
          <w:ilvl w:val="0"/>
          <w:numId w:val="10"/>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consultant is expected to apply an implementation-oriented methodology that balances strategic analysis with practical usability, ensuring that the final outputs are not only analytically sound but also immediately operational for resource mobilisation follow-up.</w:t>
      </w:r>
    </w:p>
    <w:p w14:paraId="1B030E75" w14:textId="1163DAEF" w:rsidR="00B15573" w:rsidRDefault="00E90149" w:rsidP="00E464EE">
      <w:pPr>
        <w:pStyle w:val="Heading1"/>
        <w:spacing w:after="0" w:line="240" w:lineRule="auto"/>
        <w:rPr>
          <w:rFonts w:ascii="Times New Roman" w:hAnsi="Times New Roman" w:cs="Times New Roman"/>
          <w:color w:val="auto"/>
          <w:sz w:val="24"/>
          <w:szCs w:val="24"/>
          <w:lang w:val="en-GB"/>
        </w:rPr>
      </w:pPr>
      <w:r w:rsidRPr="00C0466D">
        <w:rPr>
          <w:rFonts w:ascii="Times New Roman" w:hAnsi="Times New Roman" w:cs="Times New Roman"/>
          <w:color w:val="auto"/>
          <w:sz w:val="24"/>
          <w:szCs w:val="24"/>
          <w:lang w:val="en-GB"/>
        </w:rPr>
        <w:t>Location</w:t>
      </w:r>
    </w:p>
    <w:p w14:paraId="5F4E6A41" w14:textId="57F454D1" w:rsidR="00B15573" w:rsidRPr="00C0466D" w:rsidRDefault="00C0466D"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10"/>
          <w:szCs w:val="10"/>
          <w:lang w:val="en-GB"/>
        </w:rPr>
        <w:br/>
      </w:r>
      <w:r w:rsidR="00E90149" w:rsidRPr="00C0466D">
        <w:rPr>
          <w:rFonts w:ascii="Times New Roman" w:hAnsi="Times New Roman" w:cs="Times New Roman"/>
          <w:sz w:val="24"/>
          <w:szCs w:val="24"/>
          <w:lang w:val="en-GB"/>
        </w:rPr>
        <w:t>The consultant will work remotely and/or from AU-IBAR offices in Nairobi, Kenya, depending on the approved work arrangements. Coordination meetings and consultations may be conducted virtually or physically as approved by AU-IBAR. Any approved missions shall be undertaken in accordance with the applicable African Union Commission rules and regulations.</w:t>
      </w:r>
    </w:p>
    <w:p w14:paraId="5E4F31F4" w14:textId="2A51B6D7"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Duration</w:t>
      </w:r>
      <w:r w:rsidR="00C0466D">
        <w:rPr>
          <w:rFonts w:ascii="Times New Roman" w:hAnsi="Times New Roman" w:cs="Times New Roman"/>
          <w:color w:val="auto"/>
          <w:sz w:val="24"/>
          <w:szCs w:val="24"/>
          <w:lang w:val="en-GB"/>
        </w:rPr>
        <w:br/>
      </w:r>
    </w:p>
    <w:p w14:paraId="1F3C3E86" w14:textId="68E52F04"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 xml:space="preserve">The assignment is expected to commence immediately after contract signature and should be completed within up to two (2) calendar months from the start date. </w:t>
      </w:r>
    </w:p>
    <w:p w14:paraId="65376F32" w14:textId="798F1751"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lastRenderedPageBreak/>
        <w:t>Supervision</w:t>
      </w:r>
      <w:r w:rsidR="00C0466D">
        <w:rPr>
          <w:rFonts w:ascii="Times New Roman" w:hAnsi="Times New Roman" w:cs="Times New Roman"/>
          <w:color w:val="auto"/>
          <w:sz w:val="24"/>
          <w:szCs w:val="24"/>
          <w:lang w:val="en-GB"/>
        </w:rPr>
        <w:br/>
      </w:r>
    </w:p>
    <w:p w14:paraId="1AB1CD2C"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consultant will work under the direct supervision of the Pan-African PPR Secretariat (PAPS) Team Leader / PPR Coordinator and under the overall supervision of the Director of AU-IBAR.</w:t>
      </w:r>
    </w:p>
    <w:p w14:paraId="3218DC10" w14:textId="04C4B629"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Reporting</w:t>
      </w:r>
      <w:r w:rsidR="00C0466D">
        <w:rPr>
          <w:rFonts w:ascii="Times New Roman" w:hAnsi="Times New Roman" w:cs="Times New Roman"/>
          <w:color w:val="auto"/>
          <w:sz w:val="24"/>
          <w:szCs w:val="24"/>
          <w:lang w:val="en-GB"/>
        </w:rPr>
        <w:br/>
      </w:r>
    </w:p>
    <w:p w14:paraId="7EBF2BCC" w14:textId="3B499DF8" w:rsidR="00B15573"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Reports shall be submitted in English to the Pan-African PPR Secretariat Team Leader / PPR Coordinator for technical review and to the Director of AU-IBAR for approval. AU-IBAR may share the draft and final deliverables with selected stakeholders for comments as deemed necessary.</w:t>
      </w:r>
    </w:p>
    <w:p w14:paraId="123E140E" w14:textId="77777777" w:rsidR="00C0466D" w:rsidRPr="00C0466D" w:rsidRDefault="00C0466D" w:rsidP="00E464EE">
      <w:pPr>
        <w:spacing w:after="0" w:line="240" w:lineRule="auto"/>
        <w:rPr>
          <w:rFonts w:ascii="Times New Roman" w:hAnsi="Times New Roman" w:cs="Times New Roman"/>
          <w:sz w:val="24"/>
          <w:szCs w:val="24"/>
          <w:lang w:val="en-GB"/>
        </w:rPr>
      </w:pPr>
    </w:p>
    <w:p w14:paraId="07003716"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An Inception Report;</w:t>
      </w:r>
    </w:p>
    <w:p w14:paraId="2E4DF1C7"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Donor and Partner Intelligence Matrix;</w:t>
      </w:r>
    </w:p>
    <w:p w14:paraId="7F412E44"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Draft Resource Mobilisation Plan;</w:t>
      </w:r>
    </w:p>
    <w:p w14:paraId="0298D1C8"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Validation Presentation;</w:t>
      </w:r>
    </w:p>
    <w:p w14:paraId="3BB48880"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Final Resource Mobilisation Plan incorporating consolidated comments;</w:t>
      </w:r>
    </w:p>
    <w:p w14:paraId="17E55BBD"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Final Consultancy Report;</w:t>
      </w:r>
    </w:p>
    <w:p w14:paraId="54FD25D8"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separate comment-response matrix;</w:t>
      </w:r>
    </w:p>
    <w:p w14:paraId="0EA1B48D"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final list of deliverables and tools produced under the consultancy;</w:t>
      </w:r>
    </w:p>
    <w:p w14:paraId="6C9839F8" w14:textId="77777777" w:rsidR="00B15573" w:rsidRPr="00C0466D" w:rsidRDefault="00E90149" w:rsidP="00E464EE">
      <w:pPr>
        <w:pStyle w:val="ListBullet"/>
        <w:numPr>
          <w:ilvl w:val="0"/>
          <w:numId w:val="11"/>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high-level advocacy meeting package.</w:t>
      </w:r>
    </w:p>
    <w:p w14:paraId="5788822D" w14:textId="77777777" w:rsidR="00E464EE" w:rsidRPr="00C0466D" w:rsidRDefault="00E464EE" w:rsidP="00E464EE">
      <w:pPr>
        <w:spacing w:after="0" w:line="240" w:lineRule="auto"/>
        <w:rPr>
          <w:rFonts w:ascii="Times New Roman" w:hAnsi="Times New Roman" w:cs="Times New Roman"/>
          <w:sz w:val="24"/>
          <w:szCs w:val="24"/>
          <w:lang w:val="en-GB"/>
        </w:rPr>
      </w:pPr>
    </w:p>
    <w:p w14:paraId="26F4DA81" w14:textId="0E65194E"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For each major deliverable, AU-IBAR will normally provide consolidated comments within fifteen (15) calendar days. The consultant shall submit the revised version within fifteen (15) calendar days from the date of receipt of the comments, unless otherwise agreed in writing.</w:t>
      </w:r>
    </w:p>
    <w:p w14:paraId="3F49D45F" w14:textId="77777777" w:rsidR="00E464EE" w:rsidRPr="00C0466D" w:rsidRDefault="00E464EE" w:rsidP="00E464EE">
      <w:pPr>
        <w:spacing w:after="0" w:line="240" w:lineRule="auto"/>
        <w:rPr>
          <w:rFonts w:ascii="Times New Roman" w:hAnsi="Times New Roman" w:cs="Times New Roman"/>
          <w:sz w:val="24"/>
          <w:szCs w:val="24"/>
          <w:lang w:val="en-GB"/>
        </w:rPr>
      </w:pPr>
    </w:p>
    <w:p w14:paraId="1A6F40A3" w14:textId="77777777" w:rsidR="00B15573" w:rsidRPr="00C0466D" w:rsidRDefault="00E90149" w:rsidP="00E464EE">
      <w:pPr>
        <w:spacing w:after="0" w:line="240" w:lineRule="auto"/>
        <w:rPr>
          <w:rFonts w:ascii="Times New Roman" w:hAnsi="Times New Roman" w:cs="Times New Roman"/>
          <w:bCs/>
          <w:sz w:val="24"/>
          <w:szCs w:val="24"/>
          <w:lang w:val="en-GB"/>
        </w:rPr>
      </w:pPr>
      <w:r w:rsidRPr="00C0466D">
        <w:rPr>
          <w:rFonts w:ascii="Times New Roman" w:hAnsi="Times New Roman" w:cs="Times New Roman"/>
          <w:bCs/>
          <w:sz w:val="24"/>
          <w:szCs w:val="24"/>
          <w:lang w:val="en-GB"/>
        </w:rPr>
        <w:t>Where necessary, AU-IBAR may organise technical review sessions or validation meetings to facilitate timely consolidation of comments and alignment of the final outputs with programme priorities.</w:t>
      </w:r>
    </w:p>
    <w:p w14:paraId="390F626A" w14:textId="73DFF695"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Responsibilities of AU-IBAR</w:t>
      </w:r>
      <w:r w:rsidR="00C0466D">
        <w:rPr>
          <w:rFonts w:ascii="Times New Roman" w:hAnsi="Times New Roman" w:cs="Times New Roman"/>
          <w:color w:val="auto"/>
          <w:sz w:val="24"/>
          <w:szCs w:val="24"/>
          <w:lang w:val="en-GB"/>
        </w:rPr>
        <w:br/>
      </w:r>
    </w:p>
    <w:p w14:paraId="1E3F5500"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AU-IBAR will provide the necessary support to facilitate the assignment, including access to relevant documentation, project records and key stakeholders, subject to availability and internal clearance requirements. AU-IBAR shall also facilitate approved consultations and missions in line with applicable rules and procedures.</w:t>
      </w:r>
    </w:p>
    <w:p w14:paraId="5CBEAC85" w14:textId="77777777" w:rsidR="00E464EE" w:rsidRPr="00C0466D" w:rsidRDefault="00E464EE" w:rsidP="00E464EE">
      <w:pPr>
        <w:spacing w:after="0" w:line="240" w:lineRule="auto"/>
        <w:rPr>
          <w:rFonts w:ascii="Times New Roman" w:hAnsi="Times New Roman" w:cs="Times New Roman"/>
          <w:sz w:val="24"/>
          <w:szCs w:val="24"/>
          <w:lang w:val="en-GB"/>
        </w:rPr>
      </w:pPr>
    </w:p>
    <w:p w14:paraId="7EACA854"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following documents may be made available to the consultant on commencement of the contract:</w:t>
      </w:r>
    </w:p>
    <w:p w14:paraId="40C29BB9"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Pan-African PPR Eradication Programme (2023–2027) and related reference documents;</w:t>
      </w:r>
    </w:p>
    <w:p w14:paraId="04DCCFC4"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Relevant AU-IBAR strategic and policy documents;</w:t>
      </w:r>
    </w:p>
    <w:p w14:paraId="261B5797"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Project proposal and programme documents related to the EU support to PPR eradication from Africa;</w:t>
      </w:r>
    </w:p>
    <w:p w14:paraId="01FBF6FA"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Relevant studies, reports, presentations and background notes available to AU-IBAR;</w:t>
      </w:r>
    </w:p>
    <w:p w14:paraId="3A3E945C"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list of priority stakeholders to be consulted, developed in consultation with the consultant;</w:t>
      </w:r>
    </w:p>
    <w:p w14:paraId="0DCE6877" w14:textId="77777777" w:rsidR="00B15573" w:rsidRPr="00C0466D" w:rsidRDefault="00E90149" w:rsidP="00E464EE">
      <w:pPr>
        <w:pStyle w:val="ListBullet"/>
        <w:numPr>
          <w:ilvl w:val="0"/>
          <w:numId w:val="12"/>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Any other relevant document(s) deemed necessary for the assignment.</w:t>
      </w:r>
    </w:p>
    <w:p w14:paraId="428A5BF2" w14:textId="65467607"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lastRenderedPageBreak/>
        <w:t>Remuneration</w:t>
      </w:r>
      <w:r w:rsidR="00C0466D">
        <w:rPr>
          <w:rFonts w:ascii="Times New Roman" w:hAnsi="Times New Roman" w:cs="Times New Roman"/>
          <w:color w:val="auto"/>
          <w:sz w:val="24"/>
          <w:szCs w:val="24"/>
          <w:lang w:val="en-GB"/>
        </w:rPr>
        <w:br/>
      </w:r>
    </w:p>
    <w:p w14:paraId="50F62E07" w14:textId="3957BC74"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 xml:space="preserve">The maximum budget available for professional fees under this consultancy is </w:t>
      </w:r>
      <w:r w:rsidRPr="00C0466D">
        <w:rPr>
          <w:rFonts w:ascii="Times New Roman" w:hAnsi="Times New Roman" w:cs="Times New Roman"/>
          <w:b/>
          <w:sz w:val="24"/>
          <w:szCs w:val="24"/>
          <w:lang w:val="en-GB"/>
        </w:rPr>
        <w:t>US</w:t>
      </w:r>
      <w:r w:rsidR="00C0466D" w:rsidRPr="00C0466D">
        <w:rPr>
          <w:rFonts w:ascii="Times New Roman" w:hAnsi="Times New Roman" w:cs="Times New Roman"/>
          <w:b/>
          <w:sz w:val="24"/>
          <w:szCs w:val="24"/>
          <w:lang w:val="en-GB"/>
        </w:rPr>
        <w:t>D</w:t>
      </w:r>
      <w:r w:rsidRPr="00C0466D">
        <w:rPr>
          <w:rFonts w:ascii="Times New Roman" w:hAnsi="Times New Roman" w:cs="Times New Roman"/>
          <w:b/>
          <w:sz w:val="24"/>
          <w:szCs w:val="24"/>
          <w:lang w:val="en-GB"/>
        </w:rPr>
        <w:t xml:space="preserve"> 9,000</w:t>
      </w:r>
      <w:r w:rsidR="00E068A9">
        <w:rPr>
          <w:rFonts w:ascii="Times New Roman" w:hAnsi="Times New Roman" w:cs="Times New Roman"/>
          <w:b/>
          <w:sz w:val="24"/>
          <w:szCs w:val="24"/>
          <w:lang w:val="en-GB"/>
        </w:rPr>
        <w:t>.</w:t>
      </w:r>
      <w:bookmarkStart w:id="0" w:name="_GoBack"/>
      <w:bookmarkEnd w:id="0"/>
      <w:r w:rsidR="00C0466D" w:rsidRPr="00C0466D">
        <w:rPr>
          <w:rFonts w:ascii="Times New Roman" w:hAnsi="Times New Roman" w:cs="Times New Roman"/>
          <w:b/>
          <w:sz w:val="24"/>
          <w:szCs w:val="24"/>
          <w:lang w:val="en-GB"/>
        </w:rPr>
        <w:t>00</w:t>
      </w:r>
      <w:r w:rsidR="00C0466D">
        <w:rPr>
          <w:rFonts w:ascii="Times New Roman" w:hAnsi="Times New Roman" w:cs="Times New Roman"/>
          <w:sz w:val="24"/>
          <w:szCs w:val="24"/>
          <w:lang w:val="en-GB"/>
        </w:rPr>
        <w:t xml:space="preserve"> </w:t>
      </w:r>
      <w:r w:rsidRPr="00C0466D">
        <w:rPr>
          <w:rFonts w:ascii="Times New Roman" w:hAnsi="Times New Roman" w:cs="Times New Roman"/>
          <w:b/>
          <w:i/>
          <w:sz w:val="24"/>
          <w:szCs w:val="24"/>
          <w:lang w:val="en-GB"/>
        </w:rPr>
        <w:t>(nine thousand United States dollars)</w:t>
      </w:r>
      <w:r w:rsidRPr="00C0466D">
        <w:rPr>
          <w:rFonts w:ascii="Times New Roman" w:hAnsi="Times New Roman" w:cs="Times New Roman"/>
          <w:sz w:val="24"/>
          <w:szCs w:val="24"/>
          <w:lang w:val="en-GB"/>
        </w:rPr>
        <w:t>. Expenses for travel on official and approved missions, including flights and daily subsistence allowance, shall be covered separately by AU-IBAR in accordance with the applicable African Union Commission rules and regulations.</w:t>
      </w:r>
    </w:p>
    <w:p w14:paraId="76A92104" w14:textId="77777777" w:rsidR="00E464EE" w:rsidRPr="00C0466D" w:rsidRDefault="00E464EE" w:rsidP="00E464EE">
      <w:pPr>
        <w:spacing w:after="0" w:line="240" w:lineRule="auto"/>
        <w:rPr>
          <w:rFonts w:ascii="Times New Roman" w:hAnsi="Times New Roman" w:cs="Times New Roman"/>
          <w:sz w:val="24"/>
          <w:szCs w:val="24"/>
          <w:lang w:val="en-GB"/>
        </w:rPr>
      </w:pPr>
    </w:p>
    <w:p w14:paraId="0F509797"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Payments shall be linked to the submission and approval of the agreed deliverables. The consultant shall be responsible for personal medical cover, travel insurance where applicable, and any taxes due under the applicable laws.</w:t>
      </w:r>
    </w:p>
    <w:p w14:paraId="1881D8F9" w14:textId="77777777" w:rsidR="00E464EE" w:rsidRPr="00C0466D" w:rsidRDefault="00E464EE" w:rsidP="00E464EE">
      <w:pPr>
        <w:spacing w:after="0" w:line="240" w:lineRule="auto"/>
        <w:rPr>
          <w:rFonts w:ascii="Times New Roman" w:hAnsi="Times New Roman" w:cs="Times New Roman"/>
          <w:sz w:val="24"/>
          <w:szCs w:val="24"/>
          <w:lang w:val="en-GB"/>
        </w:rPr>
      </w:pPr>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gridCol w:w="2434"/>
      </w:tblGrid>
      <w:tr w:rsidR="00E464EE" w:rsidRPr="00DA2711" w14:paraId="469ECC89" w14:textId="77777777" w:rsidTr="00DA271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87" w:type="dxa"/>
            <w:tcBorders>
              <w:bottom w:val="none" w:sz="0" w:space="0" w:color="auto"/>
              <w:right w:val="none" w:sz="0" w:space="0" w:color="auto"/>
            </w:tcBorders>
            <w:vAlign w:val="center"/>
          </w:tcPr>
          <w:p w14:paraId="21D4358D"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b/>
                <w:i w:val="0"/>
                <w:sz w:val="24"/>
                <w:szCs w:val="24"/>
                <w:lang w:val="en-GB"/>
              </w:rPr>
              <w:t>Milestone</w:t>
            </w:r>
          </w:p>
        </w:tc>
        <w:tc>
          <w:tcPr>
            <w:tcW w:w="2551" w:type="dxa"/>
            <w:tcBorders>
              <w:bottom w:val="none" w:sz="0" w:space="0" w:color="auto"/>
            </w:tcBorders>
            <w:vAlign w:val="center"/>
          </w:tcPr>
          <w:p w14:paraId="651736D1" w14:textId="77777777" w:rsidR="00B15573" w:rsidRPr="00DA2711" w:rsidRDefault="00E90149" w:rsidP="00E464E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lang w:val="en-GB"/>
              </w:rPr>
            </w:pPr>
            <w:r w:rsidRPr="00DA2711">
              <w:rPr>
                <w:rFonts w:ascii="Times New Roman" w:hAnsi="Times New Roman" w:cs="Times New Roman"/>
                <w:b/>
                <w:i w:val="0"/>
                <w:sz w:val="24"/>
                <w:szCs w:val="24"/>
                <w:lang w:val="en-GB"/>
              </w:rPr>
              <w:t>Indicative payment</w:t>
            </w:r>
          </w:p>
        </w:tc>
      </w:tr>
      <w:tr w:rsidR="00E464EE" w:rsidRPr="00C0466D" w14:paraId="3B7BE3EE" w14:textId="77777777" w:rsidTr="00DA2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Borders>
              <w:right w:val="none" w:sz="0" w:space="0" w:color="auto"/>
            </w:tcBorders>
            <w:vAlign w:val="center"/>
          </w:tcPr>
          <w:p w14:paraId="55199117"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Approval of Inception Report</w:t>
            </w:r>
          </w:p>
        </w:tc>
        <w:tc>
          <w:tcPr>
            <w:tcW w:w="2551" w:type="dxa"/>
            <w:vAlign w:val="center"/>
          </w:tcPr>
          <w:p w14:paraId="50DFF9B8"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20%</w:t>
            </w:r>
          </w:p>
        </w:tc>
      </w:tr>
      <w:tr w:rsidR="00E464EE" w:rsidRPr="00C0466D" w14:paraId="6217C219" w14:textId="77777777" w:rsidTr="00DA2711">
        <w:tc>
          <w:tcPr>
            <w:cnfStyle w:val="001000000000" w:firstRow="0" w:lastRow="0" w:firstColumn="1" w:lastColumn="0" w:oddVBand="0" w:evenVBand="0" w:oddHBand="0" w:evenHBand="0" w:firstRowFirstColumn="0" w:firstRowLastColumn="0" w:lastRowFirstColumn="0" w:lastRowLastColumn="0"/>
            <w:tcW w:w="7087" w:type="dxa"/>
            <w:tcBorders>
              <w:right w:val="none" w:sz="0" w:space="0" w:color="auto"/>
            </w:tcBorders>
            <w:vAlign w:val="center"/>
          </w:tcPr>
          <w:p w14:paraId="1AE4045E"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Approval of Donor and Partner Intelligence Matrix and Draft Resource Mobilisation Plan</w:t>
            </w:r>
          </w:p>
        </w:tc>
        <w:tc>
          <w:tcPr>
            <w:tcW w:w="2551" w:type="dxa"/>
            <w:vAlign w:val="center"/>
          </w:tcPr>
          <w:p w14:paraId="38885AFF" w14:textId="77777777" w:rsidR="00B15573" w:rsidRPr="00C0466D" w:rsidRDefault="00E90149" w:rsidP="00E464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40%</w:t>
            </w:r>
          </w:p>
        </w:tc>
      </w:tr>
      <w:tr w:rsidR="00E464EE" w:rsidRPr="00C0466D" w14:paraId="42A3C6F8" w14:textId="77777777" w:rsidTr="00DA27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7" w:type="dxa"/>
            <w:tcBorders>
              <w:right w:val="none" w:sz="0" w:space="0" w:color="auto"/>
            </w:tcBorders>
            <w:vAlign w:val="center"/>
          </w:tcPr>
          <w:p w14:paraId="447E34A4"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Approval of Final Resource Mobilisation Plan, Final Consultancy Report, Toolkit and Advocacy Package</w:t>
            </w:r>
          </w:p>
        </w:tc>
        <w:tc>
          <w:tcPr>
            <w:tcW w:w="2551" w:type="dxa"/>
            <w:vAlign w:val="center"/>
          </w:tcPr>
          <w:p w14:paraId="38B63F36" w14:textId="77777777" w:rsidR="00B15573" w:rsidRPr="00C0466D" w:rsidRDefault="00E90149" w:rsidP="00E464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40%</w:t>
            </w:r>
          </w:p>
        </w:tc>
      </w:tr>
    </w:tbl>
    <w:p w14:paraId="2014F575" w14:textId="059A03F9" w:rsidR="00B15573" w:rsidRPr="00C0466D"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Requirements</w:t>
      </w:r>
      <w:r w:rsidR="00C0466D">
        <w:rPr>
          <w:rFonts w:ascii="Times New Roman" w:hAnsi="Times New Roman" w:cs="Times New Roman"/>
          <w:color w:val="auto"/>
          <w:sz w:val="24"/>
          <w:szCs w:val="24"/>
          <w:lang w:val="en-GB"/>
        </w:rPr>
        <w:br/>
      </w:r>
    </w:p>
    <w:p w14:paraId="5F19496B"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Applications are invited from eligible individual consultants with demonstrated expertise in resource mobilisation, donor engagement, financing strategies, programme advocacy and multi-stakeholder coordination in Africa. The consultant should be capable of producing practical, analytically sound and implementation-oriented deliverables suitable for AU-IBAR, PAPS, RECs and Member States.</w:t>
      </w:r>
    </w:p>
    <w:p w14:paraId="68226563" w14:textId="329ACB73" w:rsidR="00B15573" w:rsidRPr="00C0466D" w:rsidRDefault="00E90149" w:rsidP="00E464EE">
      <w:pPr>
        <w:pStyle w:val="Heading1"/>
        <w:spacing w:after="0" w:line="240" w:lineRule="auto"/>
        <w:rPr>
          <w:rFonts w:ascii="Times New Roman" w:hAnsi="Times New Roman" w:cs="Times New Roman"/>
          <w:color w:val="auto"/>
          <w:sz w:val="24"/>
          <w:szCs w:val="24"/>
          <w:lang w:val="en-GB"/>
        </w:rPr>
      </w:pPr>
      <w:r w:rsidRPr="00C0466D">
        <w:rPr>
          <w:rFonts w:ascii="Times New Roman" w:hAnsi="Times New Roman" w:cs="Times New Roman"/>
          <w:color w:val="auto"/>
          <w:sz w:val="24"/>
          <w:szCs w:val="24"/>
          <w:lang w:val="en-GB"/>
        </w:rPr>
        <w:t>Qualifications</w:t>
      </w:r>
    </w:p>
    <w:p w14:paraId="0A9866CD" w14:textId="00C6B9B6" w:rsidR="00B15573" w:rsidRPr="00C0466D" w:rsidRDefault="00E90149" w:rsidP="00E464EE">
      <w:pPr>
        <w:pStyle w:val="Heading2"/>
        <w:spacing w:after="0" w:line="240" w:lineRule="auto"/>
        <w:rPr>
          <w:rFonts w:ascii="Times New Roman" w:hAnsi="Times New Roman" w:cs="Times New Roman"/>
          <w:b w:val="0"/>
          <w:i/>
          <w:color w:val="auto"/>
          <w:sz w:val="10"/>
          <w:szCs w:val="10"/>
          <w:u w:val="single"/>
          <w:lang w:val="en-GB"/>
        </w:rPr>
      </w:pPr>
      <w:r w:rsidRPr="00C0466D">
        <w:rPr>
          <w:rFonts w:ascii="Times New Roman" w:hAnsi="Times New Roman" w:cs="Times New Roman"/>
          <w:b w:val="0"/>
          <w:i/>
          <w:color w:val="auto"/>
          <w:sz w:val="24"/>
          <w:szCs w:val="24"/>
          <w:u w:val="single"/>
          <w:lang w:val="en-GB"/>
        </w:rPr>
        <w:t>Academic qualifications</w:t>
      </w:r>
      <w:r w:rsidR="00C0466D">
        <w:rPr>
          <w:rFonts w:ascii="Times New Roman" w:hAnsi="Times New Roman" w:cs="Times New Roman"/>
          <w:b w:val="0"/>
          <w:i/>
          <w:color w:val="auto"/>
          <w:sz w:val="24"/>
          <w:szCs w:val="24"/>
          <w:u w:val="single"/>
          <w:lang w:val="en-GB"/>
        </w:rPr>
        <w:br/>
      </w:r>
    </w:p>
    <w:p w14:paraId="13AC862A" w14:textId="560B3887" w:rsidR="00B15573" w:rsidRPr="00C0466D" w:rsidRDefault="00E464EE"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Master’s degree in economics, Finance, Business Administration, Development Studies, International Relations, Public Policy or another relevant field.</w:t>
      </w:r>
    </w:p>
    <w:p w14:paraId="5CA3BBDE"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 PhD in a relevant field will be an added advantage.</w:t>
      </w:r>
    </w:p>
    <w:p w14:paraId="106B1FD9" w14:textId="6158F1B5" w:rsidR="00B15573" w:rsidRPr="00C0466D" w:rsidRDefault="00E90149" w:rsidP="00E464EE">
      <w:pPr>
        <w:pStyle w:val="Heading2"/>
        <w:spacing w:after="0" w:line="240" w:lineRule="auto"/>
        <w:rPr>
          <w:rFonts w:ascii="Times New Roman" w:hAnsi="Times New Roman" w:cs="Times New Roman"/>
          <w:b w:val="0"/>
          <w:i/>
          <w:color w:val="auto"/>
          <w:sz w:val="10"/>
          <w:szCs w:val="10"/>
          <w:u w:val="single"/>
          <w:lang w:val="en-GB"/>
        </w:rPr>
      </w:pPr>
      <w:r w:rsidRPr="00C0466D">
        <w:rPr>
          <w:rFonts w:ascii="Times New Roman" w:hAnsi="Times New Roman" w:cs="Times New Roman"/>
          <w:b w:val="0"/>
          <w:i/>
          <w:color w:val="auto"/>
          <w:sz w:val="24"/>
          <w:szCs w:val="24"/>
          <w:u w:val="single"/>
          <w:lang w:val="en-GB"/>
        </w:rPr>
        <w:t>General professional experience</w:t>
      </w:r>
      <w:r w:rsidR="00C0466D">
        <w:rPr>
          <w:rFonts w:ascii="Times New Roman" w:hAnsi="Times New Roman" w:cs="Times New Roman"/>
          <w:b w:val="0"/>
          <w:i/>
          <w:color w:val="auto"/>
          <w:sz w:val="24"/>
          <w:szCs w:val="24"/>
          <w:u w:val="single"/>
          <w:lang w:val="en-GB"/>
        </w:rPr>
        <w:br/>
      </w:r>
    </w:p>
    <w:p w14:paraId="78B18665"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At least five (5) years of relevant professional experience in resource mobilisation, fundraising, donor relations, partnership development, financing strategies, investment planning or related assignments.</w:t>
      </w:r>
    </w:p>
    <w:p w14:paraId="4D7DC43B"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Demonstrated experience working with regional or multilateral organisations, African regional institutions (AU/RECs), international organisations or comparable development settings.</w:t>
      </w:r>
    </w:p>
    <w:p w14:paraId="6CDDE8DE"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Proven experience in stakeholder facilitation and multi-partner coordination.</w:t>
      </w:r>
    </w:p>
    <w:p w14:paraId="183B79E6" w14:textId="279F99DA" w:rsidR="00B15573" w:rsidRPr="00C0466D" w:rsidRDefault="00E90149" w:rsidP="00E464EE">
      <w:pPr>
        <w:pStyle w:val="Heading2"/>
        <w:spacing w:after="0" w:line="240" w:lineRule="auto"/>
        <w:rPr>
          <w:rFonts w:ascii="Times New Roman" w:hAnsi="Times New Roman" w:cs="Times New Roman"/>
          <w:b w:val="0"/>
          <w:i/>
          <w:color w:val="auto"/>
          <w:sz w:val="10"/>
          <w:szCs w:val="10"/>
          <w:u w:val="single"/>
          <w:lang w:val="en-GB"/>
        </w:rPr>
      </w:pPr>
      <w:r w:rsidRPr="00C0466D">
        <w:rPr>
          <w:rFonts w:ascii="Times New Roman" w:hAnsi="Times New Roman" w:cs="Times New Roman"/>
          <w:b w:val="0"/>
          <w:i/>
          <w:color w:val="auto"/>
          <w:sz w:val="24"/>
          <w:szCs w:val="24"/>
          <w:u w:val="single"/>
          <w:lang w:val="en-GB"/>
        </w:rPr>
        <w:t>Specific professional experience</w:t>
      </w:r>
      <w:r w:rsidR="00C0466D">
        <w:rPr>
          <w:rFonts w:ascii="Times New Roman" w:hAnsi="Times New Roman" w:cs="Times New Roman"/>
          <w:b w:val="0"/>
          <w:i/>
          <w:color w:val="auto"/>
          <w:sz w:val="24"/>
          <w:szCs w:val="24"/>
          <w:u w:val="single"/>
          <w:lang w:val="en-GB"/>
        </w:rPr>
        <w:br/>
      </w:r>
    </w:p>
    <w:p w14:paraId="3CC019BD"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Proven track record of developing resource mobilisation strategies, plans, action plans, donor mapping exercises, financing frameworks or similar strategic outputs.</w:t>
      </w:r>
    </w:p>
    <w:p w14:paraId="30A82F71"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Strong ability to translate strategic programmes into fundable investment packages, coherent financing pipelines and practical donor engagement approaches.</w:t>
      </w:r>
    </w:p>
    <w:p w14:paraId="3F30DC57"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Demonstrated knowledge of public sector budgeting processes, domestic resource mobilisation pathways, programme costing or related public financing mechanisms will be an advantage.</w:t>
      </w:r>
    </w:p>
    <w:p w14:paraId="5081CAB9"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lastRenderedPageBreak/>
        <w:t>Experience in animal health economics, livestock development economics, One Health programming or related sectors is a strong asset; knowledge of PPR eradication frameworks is an added advantage.</w:t>
      </w:r>
    </w:p>
    <w:p w14:paraId="1E4B023C"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Strong analytical, drafting and presentation skills, with the ability to translate technical analysis into practical and decision-oriented recommendations.</w:t>
      </w:r>
    </w:p>
    <w:p w14:paraId="3EA18845"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Excellent command of standard office and analytical tools, including Microsoft Word, Excel and PowerPoint. Knowledge of data analysis tools will be an added advantage.</w:t>
      </w:r>
    </w:p>
    <w:p w14:paraId="55F59C0D" w14:textId="7A4EC4DC" w:rsidR="00B15573" w:rsidRPr="00C0466D" w:rsidRDefault="00E90149" w:rsidP="00E464EE">
      <w:pPr>
        <w:pStyle w:val="Heading2"/>
        <w:spacing w:after="0" w:line="240" w:lineRule="auto"/>
        <w:rPr>
          <w:rFonts w:ascii="Times New Roman" w:hAnsi="Times New Roman" w:cs="Times New Roman"/>
          <w:b w:val="0"/>
          <w:i/>
          <w:color w:val="auto"/>
          <w:sz w:val="10"/>
          <w:szCs w:val="10"/>
          <w:u w:val="single"/>
          <w:lang w:val="en-GB"/>
        </w:rPr>
      </w:pPr>
      <w:r w:rsidRPr="00C0466D">
        <w:rPr>
          <w:rFonts w:ascii="Times New Roman" w:hAnsi="Times New Roman" w:cs="Times New Roman"/>
          <w:b w:val="0"/>
          <w:i/>
          <w:color w:val="auto"/>
          <w:sz w:val="24"/>
          <w:szCs w:val="24"/>
          <w:u w:val="single"/>
          <w:lang w:val="en-GB"/>
        </w:rPr>
        <w:t>Language skills</w:t>
      </w:r>
      <w:r w:rsidR="00C0466D">
        <w:rPr>
          <w:rFonts w:ascii="Times New Roman" w:hAnsi="Times New Roman" w:cs="Times New Roman"/>
          <w:b w:val="0"/>
          <w:i/>
          <w:color w:val="auto"/>
          <w:sz w:val="24"/>
          <w:szCs w:val="24"/>
          <w:u w:val="single"/>
          <w:lang w:val="en-GB"/>
        </w:rPr>
        <w:br/>
      </w:r>
    </w:p>
    <w:p w14:paraId="4A708885"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Excellent written and oral communication skills in English.</w:t>
      </w:r>
    </w:p>
    <w:p w14:paraId="5A324270" w14:textId="77777777" w:rsidR="00B15573" w:rsidRPr="00C0466D" w:rsidRDefault="00E90149" w:rsidP="00E464EE">
      <w:pPr>
        <w:pStyle w:val="ListBullet"/>
        <w:numPr>
          <w:ilvl w:val="0"/>
          <w:numId w:val="13"/>
        </w:num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Working knowledge of French or another AU official language will be an added advantage.</w:t>
      </w:r>
    </w:p>
    <w:p w14:paraId="552BA0A6" w14:textId="340A61AD" w:rsidR="00B15573" w:rsidRPr="00DA2711" w:rsidRDefault="00E90149" w:rsidP="00E464EE">
      <w:pPr>
        <w:pStyle w:val="Heading1"/>
        <w:spacing w:after="0" w:line="240" w:lineRule="auto"/>
        <w:rPr>
          <w:rFonts w:ascii="Times New Roman" w:hAnsi="Times New Roman" w:cs="Times New Roman"/>
          <w:color w:val="auto"/>
          <w:sz w:val="8"/>
          <w:szCs w:val="8"/>
          <w:lang w:val="en-GB"/>
        </w:rPr>
      </w:pPr>
      <w:r w:rsidRPr="00C0466D">
        <w:rPr>
          <w:rFonts w:ascii="Times New Roman" w:hAnsi="Times New Roman" w:cs="Times New Roman"/>
          <w:color w:val="auto"/>
          <w:sz w:val="24"/>
          <w:szCs w:val="24"/>
          <w:lang w:val="en-GB"/>
        </w:rPr>
        <w:t>Evaluation criteria</w:t>
      </w:r>
      <w:r w:rsidR="00C0466D">
        <w:rPr>
          <w:rFonts w:ascii="Times New Roman" w:hAnsi="Times New Roman" w:cs="Times New Roman"/>
          <w:color w:val="auto"/>
          <w:sz w:val="24"/>
          <w:szCs w:val="24"/>
          <w:lang w:val="en-GB"/>
        </w:rPr>
        <w:br/>
      </w:r>
    </w:p>
    <w:p w14:paraId="05BED19B" w14:textId="4F699564" w:rsidR="00B15573"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Applications will be evaluated based on the candidate’s relevant qualifications, experience, proposed methodology and overall suitability for the assignment.</w:t>
      </w:r>
    </w:p>
    <w:p w14:paraId="2094FFA3" w14:textId="77777777" w:rsidR="00C0466D" w:rsidRPr="00C0466D" w:rsidRDefault="00C0466D" w:rsidP="00E464EE">
      <w:pPr>
        <w:spacing w:after="0" w:line="240" w:lineRule="auto"/>
        <w:rPr>
          <w:rFonts w:ascii="Times New Roman" w:hAnsi="Times New Roman" w:cs="Times New Roman"/>
          <w:sz w:val="24"/>
          <w:szCs w:val="24"/>
          <w:lang w:val="en-GB"/>
        </w:rPr>
      </w:pPr>
    </w:p>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5"/>
        <w:gridCol w:w="1642"/>
      </w:tblGrid>
      <w:tr w:rsidR="00E464EE" w:rsidRPr="00C0466D" w14:paraId="1DD7AF36" w14:textId="77777777" w:rsidTr="00DA2711">
        <w:trPr>
          <w:cnfStyle w:val="100000000000" w:firstRow="1" w:lastRow="0" w:firstColumn="0" w:lastColumn="0" w:oddVBand="0" w:evenVBand="0" w:oddHBand="0" w:evenHBand="0" w:firstRowFirstColumn="0" w:firstRowLastColumn="0" w:lastRowFirstColumn="0" w:lastRowLastColumn="0"/>
          <w:trHeight w:val="325"/>
        </w:trPr>
        <w:tc>
          <w:tcPr>
            <w:cnfStyle w:val="001000000100" w:firstRow="0" w:lastRow="0" w:firstColumn="1" w:lastColumn="0" w:oddVBand="0" w:evenVBand="0" w:oddHBand="0" w:evenHBand="0" w:firstRowFirstColumn="1" w:firstRowLastColumn="0" w:lastRowFirstColumn="0" w:lastRowLastColumn="0"/>
            <w:tcW w:w="6575" w:type="dxa"/>
            <w:tcBorders>
              <w:bottom w:val="none" w:sz="0" w:space="0" w:color="auto"/>
              <w:right w:val="none" w:sz="0" w:space="0" w:color="auto"/>
            </w:tcBorders>
          </w:tcPr>
          <w:p w14:paraId="047BDDDC" w14:textId="7FF22E2D" w:rsidR="00B15573" w:rsidRPr="00DA2711" w:rsidRDefault="00DA2711" w:rsidP="00DA2711">
            <w:pPr>
              <w:jc w:val="center"/>
              <w:rPr>
                <w:rFonts w:ascii="Times New Roman" w:hAnsi="Times New Roman" w:cs="Times New Roman"/>
                <w:i w:val="0"/>
                <w:sz w:val="24"/>
                <w:szCs w:val="24"/>
                <w:lang w:val="en-GB"/>
              </w:rPr>
            </w:pPr>
            <w:r w:rsidRPr="00DA2711">
              <w:rPr>
                <w:rFonts w:ascii="Times New Roman" w:hAnsi="Times New Roman" w:cs="Times New Roman"/>
                <w:b/>
                <w:i w:val="0"/>
                <w:sz w:val="24"/>
                <w:szCs w:val="24"/>
                <w:lang w:val="en-GB"/>
              </w:rPr>
              <w:t>CRITERIA</w:t>
            </w:r>
          </w:p>
        </w:tc>
        <w:tc>
          <w:tcPr>
            <w:tcW w:w="1642" w:type="dxa"/>
            <w:tcBorders>
              <w:bottom w:val="none" w:sz="0" w:space="0" w:color="auto"/>
            </w:tcBorders>
          </w:tcPr>
          <w:p w14:paraId="1EFAFD64" w14:textId="74E2BCD8" w:rsidR="00B15573" w:rsidRPr="00DA2711" w:rsidRDefault="00DA2711" w:rsidP="00DA271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sz w:val="24"/>
                <w:szCs w:val="24"/>
                <w:lang w:val="en-GB"/>
              </w:rPr>
            </w:pPr>
            <w:r w:rsidRPr="00DA2711">
              <w:rPr>
                <w:rFonts w:ascii="Times New Roman" w:hAnsi="Times New Roman" w:cs="Times New Roman"/>
                <w:b/>
                <w:i w:val="0"/>
                <w:sz w:val="24"/>
                <w:szCs w:val="24"/>
                <w:lang w:val="en-GB"/>
              </w:rPr>
              <w:t>SCORE (%)</w:t>
            </w:r>
          </w:p>
        </w:tc>
      </w:tr>
      <w:tr w:rsidR="00E464EE" w:rsidRPr="00C0466D" w14:paraId="4EAFD440" w14:textId="77777777" w:rsidTr="00DA271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766961D6"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Approach and methodology</w:t>
            </w:r>
          </w:p>
        </w:tc>
        <w:tc>
          <w:tcPr>
            <w:tcW w:w="1642" w:type="dxa"/>
          </w:tcPr>
          <w:p w14:paraId="43DB49ED" w14:textId="77777777" w:rsidR="00B15573" w:rsidRPr="00C0466D" w:rsidRDefault="00E90149" w:rsidP="00DA27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25</w:t>
            </w:r>
          </w:p>
        </w:tc>
      </w:tr>
      <w:tr w:rsidR="00E464EE" w:rsidRPr="00C0466D" w14:paraId="0E4AC28C" w14:textId="77777777" w:rsidTr="00DA2711">
        <w:trPr>
          <w:trHeight w:val="311"/>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4A6E7C35"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Academic qualifications</w:t>
            </w:r>
          </w:p>
        </w:tc>
        <w:tc>
          <w:tcPr>
            <w:tcW w:w="1642" w:type="dxa"/>
          </w:tcPr>
          <w:p w14:paraId="0B9FD8BF" w14:textId="77777777" w:rsidR="00B15573" w:rsidRPr="00C0466D" w:rsidRDefault="00E90149" w:rsidP="00DA27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15</w:t>
            </w:r>
          </w:p>
        </w:tc>
      </w:tr>
      <w:tr w:rsidR="00E464EE" w:rsidRPr="00C0466D" w14:paraId="2E301369" w14:textId="77777777" w:rsidTr="00DA271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6516404F"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General professional experience</w:t>
            </w:r>
          </w:p>
        </w:tc>
        <w:tc>
          <w:tcPr>
            <w:tcW w:w="1642" w:type="dxa"/>
          </w:tcPr>
          <w:p w14:paraId="21AE1388" w14:textId="77777777" w:rsidR="00B15573" w:rsidRPr="00C0466D" w:rsidRDefault="00E90149" w:rsidP="00DA27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20</w:t>
            </w:r>
          </w:p>
        </w:tc>
      </w:tr>
      <w:tr w:rsidR="00E464EE" w:rsidRPr="00C0466D" w14:paraId="78C616AE" w14:textId="77777777" w:rsidTr="00DA2711">
        <w:trPr>
          <w:trHeight w:val="325"/>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0565762B" w14:textId="77777777"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Specific professional experience</w:t>
            </w:r>
          </w:p>
        </w:tc>
        <w:tc>
          <w:tcPr>
            <w:tcW w:w="1642" w:type="dxa"/>
          </w:tcPr>
          <w:p w14:paraId="20730CFD" w14:textId="77777777" w:rsidR="00B15573" w:rsidRPr="00C0466D" w:rsidRDefault="00E90149" w:rsidP="00DA27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30</w:t>
            </w:r>
          </w:p>
        </w:tc>
      </w:tr>
      <w:tr w:rsidR="00E464EE" w:rsidRPr="00C0466D" w14:paraId="170AD1B0" w14:textId="77777777" w:rsidTr="00DA2711">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62610A12" w14:textId="1E5CE272" w:rsidR="00B15573" w:rsidRPr="00DA2711" w:rsidRDefault="00E90149" w:rsidP="00E464EE">
            <w:pPr>
              <w:jc w:val="left"/>
              <w:rPr>
                <w:rFonts w:ascii="Times New Roman" w:hAnsi="Times New Roman" w:cs="Times New Roman"/>
                <w:i w:val="0"/>
                <w:sz w:val="24"/>
                <w:szCs w:val="24"/>
                <w:lang w:val="en-GB"/>
              </w:rPr>
            </w:pPr>
            <w:r w:rsidRPr="00DA2711">
              <w:rPr>
                <w:rFonts w:ascii="Times New Roman" w:hAnsi="Times New Roman" w:cs="Times New Roman"/>
                <w:i w:val="0"/>
                <w:sz w:val="24"/>
                <w:szCs w:val="24"/>
                <w:lang w:val="en-GB"/>
              </w:rPr>
              <w:t xml:space="preserve">Language and </w:t>
            </w:r>
            <w:r w:rsidR="00E464EE" w:rsidRPr="00DA2711">
              <w:rPr>
                <w:rFonts w:ascii="Times New Roman" w:hAnsi="Times New Roman" w:cs="Times New Roman"/>
                <w:i w:val="0"/>
                <w:sz w:val="24"/>
                <w:szCs w:val="24"/>
                <w:lang w:val="en-GB"/>
              </w:rPr>
              <w:t>Report</w:t>
            </w:r>
            <w:r w:rsidRPr="00DA2711">
              <w:rPr>
                <w:rFonts w:ascii="Times New Roman" w:hAnsi="Times New Roman" w:cs="Times New Roman"/>
                <w:i w:val="0"/>
                <w:sz w:val="24"/>
                <w:szCs w:val="24"/>
                <w:lang w:val="en-GB"/>
              </w:rPr>
              <w:t>-writing ability</w:t>
            </w:r>
          </w:p>
        </w:tc>
        <w:tc>
          <w:tcPr>
            <w:tcW w:w="1642" w:type="dxa"/>
          </w:tcPr>
          <w:p w14:paraId="3FCC2DEE" w14:textId="77777777" w:rsidR="00B15573" w:rsidRPr="00C0466D" w:rsidRDefault="00E90149" w:rsidP="00DA27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sz w:val="24"/>
                <w:szCs w:val="24"/>
                <w:lang w:val="en-GB"/>
              </w:rPr>
              <w:t>10</w:t>
            </w:r>
          </w:p>
        </w:tc>
      </w:tr>
      <w:tr w:rsidR="00E464EE" w:rsidRPr="00C0466D" w14:paraId="498A26AD" w14:textId="77777777" w:rsidTr="00DA2711">
        <w:trPr>
          <w:trHeight w:val="325"/>
        </w:trPr>
        <w:tc>
          <w:tcPr>
            <w:cnfStyle w:val="001000000000" w:firstRow="0" w:lastRow="0" w:firstColumn="1" w:lastColumn="0" w:oddVBand="0" w:evenVBand="0" w:oddHBand="0" w:evenHBand="0" w:firstRowFirstColumn="0" w:firstRowLastColumn="0" w:lastRowFirstColumn="0" w:lastRowLastColumn="0"/>
            <w:tcW w:w="6575" w:type="dxa"/>
            <w:tcBorders>
              <w:right w:val="none" w:sz="0" w:space="0" w:color="auto"/>
            </w:tcBorders>
          </w:tcPr>
          <w:p w14:paraId="151B18B1" w14:textId="77777777" w:rsidR="00B15573" w:rsidRPr="00DA2711" w:rsidRDefault="00E90149" w:rsidP="00DA2711">
            <w:pPr>
              <w:jc w:val="center"/>
              <w:rPr>
                <w:rFonts w:ascii="Times New Roman" w:hAnsi="Times New Roman" w:cs="Times New Roman"/>
                <w:i w:val="0"/>
                <w:sz w:val="24"/>
                <w:szCs w:val="24"/>
                <w:lang w:val="en-GB"/>
              </w:rPr>
            </w:pPr>
            <w:r w:rsidRPr="00DA2711">
              <w:rPr>
                <w:rFonts w:ascii="Times New Roman" w:hAnsi="Times New Roman" w:cs="Times New Roman"/>
                <w:b/>
                <w:i w:val="0"/>
                <w:sz w:val="24"/>
                <w:szCs w:val="24"/>
                <w:lang w:val="en-GB"/>
              </w:rPr>
              <w:t>TOTAL</w:t>
            </w:r>
          </w:p>
        </w:tc>
        <w:tc>
          <w:tcPr>
            <w:tcW w:w="1642" w:type="dxa"/>
          </w:tcPr>
          <w:p w14:paraId="4B8F0A47" w14:textId="77777777" w:rsidR="00B15573" w:rsidRPr="00C0466D" w:rsidRDefault="00E90149" w:rsidP="00DA271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C0466D">
              <w:rPr>
                <w:rFonts w:ascii="Times New Roman" w:hAnsi="Times New Roman" w:cs="Times New Roman"/>
                <w:b/>
                <w:sz w:val="24"/>
                <w:szCs w:val="24"/>
                <w:lang w:val="en-GB"/>
              </w:rPr>
              <w:t>100</w:t>
            </w:r>
          </w:p>
        </w:tc>
      </w:tr>
    </w:tbl>
    <w:p w14:paraId="0251B97D" w14:textId="0A79587E" w:rsidR="00DA2711" w:rsidRPr="00DA2711" w:rsidRDefault="00E90149" w:rsidP="00DA2711">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Gender mainstreaming</w:t>
      </w:r>
      <w:r w:rsidR="00DA2711">
        <w:rPr>
          <w:rFonts w:ascii="Times New Roman" w:hAnsi="Times New Roman" w:cs="Times New Roman"/>
          <w:color w:val="auto"/>
          <w:sz w:val="24"/>
          <w:szCs w:val="24"/>
          <w:lang w:val="en-GB"/>
        </w:rPr>
        <w:br/>
      </w:r>
    </w:p>
    <w:p w14:paraId="4E5ADECA"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African Union Commission is an equal opportunity institution. Qualified women are strongly encouraged to apply.</w:t>
      </w:r>
    </w:p>
    <w:p w14:paraId="0F21DCD4" w14:textId="36CFFA17" w:rsidR="00B15573" w:rsidRPr="00DA2711"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Submission of applications</w:t>
      </w:r>
      <w:r w:rsidR="00DA2711">
        <w:rPr>
          <w:rFonts w:ascii="Times New Roman" w:hAnsi="Times New Roman" w:cs="Times New Roman"/>
          <w:color w:val="auto"/>
          <w:sz w:val="24"/>
          <w:szCs w:val="24"/>
          <w:lang w:val="en-GB"/>
        </w:rPr>
        <w:br/>
      </w:r>
    </w:p>
    <w:p w14:paraId="588E63BD" w14:textId="01706658" w:rsidR="00DA2711" w:rsidRPr="009738DD" w:rsidRDefault="00DA2711" w:rsidP="00DA2711">
      <w:pPr>
        <w:spacing w:after="0" w:line="240" w:lineRule="auto"/>
        <w:rPr>
          <w:rFonts w:ascii="Times New Roman" w:hAnsi="Times New Roman" w:cs="Times New Roman"/>
          <w:sz w:val="24"/>
          <w:szCs w:val="24"/>
          <w:lang w:val="en-GB"/>
        </w:rPr>
      </w:pPr>
      <w:r w:rsidRPr="003D72F9">
        <w:rPr>
          <w:rFonts w:ascii="Times New Roman" w:eastAsia="Times New Roman" w:hAnsi="Times New Roman" w:cs="Times New Roman"/>
          <w:sz w:val="24"/>
          <w:szCs w:val="24"/>
        </w:rPr>
        <w:t xml:space="preserve">The address for submission of applications is: Applications including detailed curriculum vitae (CV) should be submitted through email to: </w:t>
      </w:r>
      <w:hyperlink r:id="rId9" w:history="1">
        <w:r w:rsidRPr="00D55571">
          <w:rPr>
            <w:rStyle w:val="Hyperlink"/>
            <w:rFonts w:ascii="Times New Roman" w:eastAsia="Times New Roman" w:hAnsi="Times New Roman" w:cs="Times New Roman"/>
            <w:sz w:val="24"/>
            <w:szCs w:val="24"/>
          </w:rPr>
          <w:t>procurement@au-ibar.org</w:t>
        </w:r>
      </w:hyperlink>
      <w:r w:rsidRPr="00D55571">
        <w:rPr>
          <w:rFonts w:ascii="Times New Roman" w:eastAsia="Times New Roman" w:hAnsi="Times New Roman" w:cs="Times New Roman"/>
          <w:sz w:val="24"/>
          <w:szCs w:val="24"/>
        </w:rPr>
        <w:t xml:space="preserve"> with a copy to </w:t>
      </w:r>
      <w:hyperlink r:id="rId10" w:history="1">
        <w:r w:rsidRPr="00A51797">
          <w:rPr>
            <w:rStyle w:val="Hyperlink"/>
            <w:rFonts w:ascii="Times New Roman" w:eastAsia="Times New Roman" w:hAnsi="Times New Roman" w:cs="Times New Roman"/>
            <w:sz w:val="24"/>
            <w:szCs w:val="24"/>
          </w:rPr>
          <w:t>albert.obiero@au-ibar.org</w:t>
        </w:r>
      </w:hyperlink>
      <w:r w:rsidRPr="00D55571">
        <w:rPr>
          <w:rFonts w:ascii="Times New Roman" w:eastAsia="Times New Roman" w:hAnsi="Times New Roman" w:cs="Times New Roman"/>
          <w:sz w:val="24"/>
          <w:szCs w:val="24"/>
        </w:rPr>
        <w:t xml:space="preserve"> </w:t>
      </w:r>
      <w:r w:rsidRPr="009738DD">
        <w:rPr>
          <w:rFonts w:ascii="Times New Roman" w:hAnsi="Times New Roman" w:cs="Times New Roman"/>
          <w:sz w:val="24"/>
          <w:szCs w:val="24"/>
          <w:lang w:val="en-GB"/>
        </w:rPr>
        <w:t xml:space="preserve">and should include the title: </w:t>
      </w:r>
      <w:r w:rsidRPr="00E9472D">
        <w:rPr>
          <w:rFonts w:ascii="Times New Roman" w:hAnsi="Times New Roman" w:cs="Times New Roman"/>
          <w:b/>
          <w:bCs/>
          <w:sz w:val="24"/>
          <w:szCs w:val="24"/>
          <w:highlight w:val="yellow"/>
          <w:lang w:val="en-GB"/>
        </w:rPr>
        <w:t>“</w:t>
      </w:r>
      <w:r>
        <w:rPr>
          <w:rFonts w:ascii="Times New Roman" w:hAnsi="Times New Roman" w:cs="Times New Roman"/>
          <w:b/>
          <w:sz w:val="24"/>
          <w:szCs w:val="24"/>
          <w:highlight w:val="yellow"/>
          <w:lang w:val="en-GB"/>
        </w:rPr>
        <w:t xml:space="preserve">PPR </w:t>
      </w:r>
      <w:r w:rsidRPr="00DA2711">
        <w:rPr>
          <w:rFonts w:ascii="Times New Roman" w:hAnsi="Times New Roman" w:cs="Times New Roman"/>
          <w:b/>
          <w:sz w:val="24"/>
          <w:szCs w:val="24"/>
          <w:highlight w:val="yellow"/>
          <w:lang w:val="en-GB"/>
        </w:rPr>
        <w:t>Resource Mobilization Plan</w:t>
      </w:r>
      <w:r w:rsidRPr="00E9472D">
        <w:rPr>
          <w:rFonts w:ascii="Times New Roman" w:hAnsi="Times New Roman" w:cs="Times New Roman"/>
          <w:b/>
          <w:bCs/>
          <w:sz w:val="24"/>
          <w:szCs w:val="24"/>
          <w:highlight w:val="yellow"/>
          <w:lang w:val="en-GB"/>
        </w:rPr>
        <w:t>”</w:t>
      </w:r>
      <w:r w:rsidRPr="009738DD">
        <w:rPr>
          <w:rFonts w:ascii="Times New Roman" w:hAnsi="Times New Roman" w:cs="Times New Roman"/>
          <w:sz w:val="24"/>
          <w:szCs w:val="24"/>
          <w:lang w:val="en-GB"/>
        </w:rPr>
        <w:t xml:space="preserve"> in the subject line of the email.</w:t>
      </w:r>
    </w:p>
    <w:p w14:paraId="2C2AC295" w14:textId="5012DC64" w:rsidR="00DA2711" w:rsidRDefault="00DA2711" w:rsidP="00E464EE">
      <w:pPr>
        <w:spacing w:after="0" w:line="240" w:lineRule="auto"/>
        <w:rPr>
          <w:rFonts w:ascii="Times New Roman" w:hAnsi="Times New Roman" w:cs="Times New Roman"/>
          <w:sz w:val="24"/>
          <w:szCs w:val="24"/>
          <w:lang w:val="en-GB"/>
        </w:rPr>
      </w:pPr>
    </w:p>
    <w:p w14:paraId="64541BBF" w14:textId="1A93DCB7" w:rsidR="00DA2711" w:rsidRPr="00B973D2" w:rsidRDefault="00DA2711" w:rsidP="00DA2711">
      <w:pPr>
        <w:spacing w:line="240" w:lineRule="auto"/>
        <w:rPr>
          <w:rFonts w:ascii="Times New Roman" w:hAnsi="Times New Roman" w:cs="Times New Roman"/>
          <w:b/>
          <w:sz w:val="24"/>
          <w:szCs w:val="24"/>
        </w:rPr>
      </w:pPr>
      <w:r w:rsidRPr="00B973D2">
        <w:rPr>
          <w:rFonts w:ascii="Times New Roman" w:hAnsi="Times New Roman" w:cs="Times New Roman"/>
          <w:sz w:val="24"/>
          <w:szCs w:val="24"/>
        </w:rPr>
        <w:t xml:space="preserve">Applications should be submitted to the address given above by </w:t>
      </w:r>
      <w:r>
        <w:rPr>
          <w:rFonts w:ascii="Times New Roman" w:hAnsi="Times New Roman" w:cs="Times New Roman"/>
          <w:b/>
          <w:sz w:val="24"/>
          <w:szCs w:val="24"/>
        </w:rPr>
        <w:t>19</w:t>
      </w:r>
      <w:r w:rsidRPr="00B973D2">
        <w:rPr>
          <w:rFonts w:ascii="Times New Roman" w:hAnsi="Times New Roman" w:cs="Times New Roman"/>
          <w:b/>
          <w:sz w:val="24"/>
          <w:szCs w:val="24"/>
          <w:vertAlign w:val="superscript"/>
        </w:rPr>
        <w:t>th</w:t>
      </w:r>
      <w:r w:rsidRPr="00B973D2">
        <w:rPr>
          <w:rFonts w:ascii="Times New Roman" w:hAnsi="Times New Roman" w:cs="Times New Roman"/>
          <w:sz w:val="24"/>
          <w:szCs w:val="24"/>
        </w:rPr>
        <w:t xml:space="preserve"> </w:t>
      </w:r>
      <w:r>
        <w:rPr>
          <w:rFonts w:ascii="Times New Roman" w:hAnsi="Times New Roman" w:cs="Times New Roman"/>
          <w:b/>
          <w:sz w:val="24"/>
          <w:szCs w:val="24"/>
        </w:rPr>
        <w:t>June</w:t>
      </w:r>
      <w:r w:rsidRPr="00B973D2">
        <w:rPr>
          <w:rFonts w:ascii="Times New Roman" w:hAnsi="Times New Roman" w:cs="Times New Roman"/>
          <w:b/>
          <w:sz w:val="24"/>
          <w:szCs w:val="24"/>
        </w:rPr>
        <w:t>, 2026 at</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23:45hrs</w:t>
      </w:r>
      <w:r w:rsidRPr="00B973D2">
        <w:rPr>
          <w:rFonts w:ascii="Times New Roman" w:hAnsi="Times New Roman" w:cs="Times New Roman"/>
          <w:sz w:val="24"/>
          <w:szCs w:val="24"/>
        </w:rPr>
        <w:t xml:space="preserve"> </w:t>
      </w:r>
      <w:r w:rsidRPr="00B973D2">
        <w:rPr>
          <w:rFonts w:ascii="Times New Roman" w:hAnsi="Times New Roman" w:cs="Times New Roman"/>
          <w:b/>
          <w:sz w:val="24"/>
          <w:szCs w:val="24"/>
        </w:rPr>
        <w:t xml:space="preserve">Nairobi Local Time. </w:t>
      </w:r>
    </w:p>
    <w:p w14:paraId="191EC730" w14:textId="2FB16CAD" w:rsidR="00B15573" w:rsidRPr="00DA2711" w:rsidRDefault="00E90149" w:rsidP="00E464EE">
      <w:pPr>
        <w:spacing w:after="0" w:line="240" w:lineRule="auto"/>
        <w:rPr>
          <w:rFonts w:ascii="Times New Roman" w:hAnsi="Times New Roman" w:cs="Times New Roman"/>
          <w:sz w:val="8"/>
          <w:szCs w:val="8"/>
          <w:lang w:val="en-GB"/>
        </w:rPr>
      </w:pPr>
      <w:r w:rsidRPr="00C0466D">
        <w:rPr>
          <w:rFonts w:ascii="Times New Roman" w:hAnsi="Times New Roman" w:cs="Times New Roman"/>
          <w:sz w:val="24"/>
          <w:szCs w:val="24"/>
          <w:lang w:val="en-GB"/>
        </w:rPr>
        <w:t>Applications should include the following:</w:t>
      </w:r>
      <w:r w:rsidR="00DA2711">
        <w:rPr>
          <w:rFonts w:ascii="Times New Roman" w:hAnsi="Times New Roman" w:cs="Times New Roman"/>
          <w:sz w:val="24"/>
          <w:szCs w:val="24"/>
          <w:lang w:val="en-GB"/>
        </w:rPr>
        <w:br/>
      </w:r>
    </w:p>
    <w:p w14:paraId="4CCC4D96"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 detailed curriculum vitae (CV);</w:t>
      </w:r>
    </w:p>
    <w:p w14:paraId="54C94277"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 cover letter demonstrating suitability for the assignment;</w:t>
      </w:r>
    </w:p>
    <w:p w14:paraId="4807BA4E" w14:textId="1D9726D9"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 proposed methodology and work plan</w:t>
      </w:r>
      <w:r w:rsidR="00E464EE" w:rsidRPr="00C0466D">
        <w:rPr>
          <w:rFonts w:ascii="Times New Roman" w:hAnsi="Times New Roman" w:cs="Times New Roman"/>
          <w:i/>
          <w:iCs/>
          <w:sz w:val="24"/>
          <w:szCs w:val="24"/>
          <w:lang w:val="en-GB"/>
        </w:rPr>
        <w:t>;</w:t>
      </w:r>
    </w:p>
    <w:p w14:paraId="6B830B77"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Copies of academic and professional certificates;</w:t>
      </w:r>
    </w:p>
    <w:p w14:paraId="1D5BB8DD"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At least one sample or excerpt of a previous resource mobilisation strategy, plan or similar assignment developed by the applicant;</w:t>
      </w:r>
    </w:p>
    <w:p w14:paraId="62CFA7A9"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 financial proposal consistent with the budget framework of the assignment;</w:t>
      </w:r>
    </w:p>
    <w:p w14:paraId="535FF322"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Copy of identification document;</w:t>
      </w:r>
    </w:p>
    <w:p w14:paraId="22FF390B" w14:textId="77777777" w:rsidR="00B15573" w:rsidRPr="00C0466D" w:rsidRDefault="00E90149" w:rsidP="00E464EE">
      <w:pPr>
        <w:pStyle w:val="ListBullet"/>
        <w:numPr>
          <w:ilvl w:val="0"/>
          <w:numId w:val="13"/>
        </w:numPr>
        <w:spacing w:after="0" w:line="240" w:lineRule="auto"/>
        <w:rPr>
          <w:rFonts w:ascii="Times New Roman" w:hAnsi="Times New Roman" w:cs="Times New Roman"/>
          <w:i/>
          <w:iCs/>
          <w:sz w:val="24"/>
          <w:szCs w:val="24"/>
          <w:lang w:val="en-GB"/>
        </w:rPr>
      </w:pPr>
      <w:r w:rsidRPr="00C0466D">
        <w:rPr>
          <w:rFonts w:ascii="Times New Roman" w:hAnsi="Times New Roman" w:cs="Times New Roman"/>
          <w:i/>
          <w:iCs/>
          <w:sz w:val="24"/>
          <w:szCs w:val="24"/>
          <w:lang w:val="en-GB"/>
        </w:rPr>
        <w:t>Any required declaration forms or administrative documents specified in the call.</w:t>
      </w:r>
    </w:p>
    <w:p w14:paraId="2C1307F7" w14:textId="6E48FAF2" w:rsidR="00B15573" w:rsidRPr="00DA2711"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lastRenderedPageBreak/>
        <w:t>Medical and travel cover and taxes for the consultant</w:t>
      </w:r>
      <w:r w:rsidR="00DA2711">
        <w:rPr>
          <w:rFonts w:ascii="Times New Roman" w:hAnsi="Times New Roman" w:cs="Times New Roman"/>
          <w:color w:val="auto"/>
          <w:sz w:val="24"/>
          <w:szCs w:val="24"/>
          <w:lang w:val="en-GB"/>
        </w:rPr>
        <w:br/>
      </w:r>
    </w:p>
    <w:p w14:paraId="71256904" w14:textId="7408DA8E" w:rsidR="00B15573"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The consultant will be responsible for personal medical and travel insurance cover, as applicable, and for all taxes due in relation to the consultancy, in accordance with the applicable laws and contractual provisions.</w:t>
      </w:r>
    </w:p>
    <w:p w14:paraId="12B56051" w14:textId="77777777" w:rsidR="00DA2711" w:rsidRPr="00DA2711" w:rsidRDefault="00DA2711" w:rsidP="00E464EE">
      <w:pPr>
        <w:spacing w:after="0" w:line="240" w:lineRule="auto"/>
        <w:rPr>
          <w:rFonts w:ascii="Times New Roman" w:hAnsi="Times New Roman" w:cs="Times New Roman"/>
          <w:sz w:val="12"/>
          <w:szCs w:val="12"/>
          <w:lang w:val="en-GB"/>
        </w:rPr>
      </w:pPr>
    </w:p>
    <w:p w14:paraId="433AB9EF" w14:textId="5160210B" w:rsidR="00B15573" w:rsidRPr="00DA2711" w:rsidRDefault="00E90149" w:rsidP="00E464EE">
      <w:pPr>
        <w:pStyle w:val="Heading1"/>
        <w:spacing w:after="0" w:line="240" w:lineRule="auto"/>
        <w:rPr>
          <w:rFonts w:ascii="Times New Roman" w:hAnsi="Times New Roman" w:cs="Times New Roman"/>
          <w:color w:val="auto"/>
          <w:sz w:val="10"/>
          <w:szCs w:val="10"/>
          <w:lang w:val="en-GB"/>
        </w:rPr>
      </w:pPr>
      <w:r w:rsidRPr="00C0466D">
        <w:rPr>
          <w:rFonts w:ascii="Times New Roman" w:hAnsi="Times New Roman" w:cs="Times New Roman"/>
          <w:color w:val="auto"/>
          <w:sz w:val="24"/>
          <w:szCs w:val="24"/>
          <w:lang w:val="en-GB"/>
        </w:rPr>
        <w:t>Disclaimer / Intellectual property</w:t>
      </w:r>
      <w:r w:rsidR="00DA2711">
        <w:rPr>
          <w:rFonts w:ascii="Times New Roman" w:hAnsi="Times New Roman" w:cs="Times New Roman"/>
          <w:color w:val="auto"/>
          <w:sz w:val="24"/>
          <w:szCs w:val="24"/>
          <w:lang w:val="en-GB"/>
        </w:rPr>
        <w:br/>
      </w:r>
    </w:p>
    <w:p w14:paraId="3EFBECDA" w14:textId="77777777" w:rsidR="00B15573" w:rsidRPr="00C0466D" w:rsidRDefault="00E90149" w:rsidP="00E464EE">
      <w:pPr>
        <w:spacing w:after="0" w:line="240" w:lineRule="auto"/>
        <w:rPr>
          <w:rFonts w:ascii="Times New Roman" w:hAnsi="Times New Roman" w:cs="Times New Roman"/>
          <w:sz w:val="24"/>
          <w:szCs w:val="24"/>
          <w:lang w:val="en-GB"/>
        </w:rPr>
      </w:pPr>
      <w:r w:rsidRPr="00C0466D">
        <w:rPr>
          <w:rFonts w:ascii="Times New Roman" w:hAnsi="Times New Roman" w:cs="Times New Roman"/>
          <w:sz w:val="24"/>
          <w:szCs w:val="24"/>
          <w:lang w:val="en-GB"/>
        </w:rPr>
        <w:t>All data, information, tools and reports produced under this consultancy shall remain the property of AU-IBAR. Reproduction and/or dissemination for commercial purposes is prohibited without prior written consent from AU-IBAR.</w:t>
      </w:r>
    </w:p>
    <w:p w14:paraId="28D61AE5" w14:textId="7E573E95" w:rsidR="00B15573" w:rsidRPr="00C0466D" w:rsidRDefault="00B15573" w:rsidP="00DA2711">
      <w:pPr>
        <w:pStyle w:val="ListBullet"/>
        <w:spacing w:after="0" w:line="240" w:lineRule="auto"/>
        <w:ind w:left="720"/>
        <w:rPr>
          <w:rFonts w:ascii="Times New Roman" w:hAnsi="Times New Roman" w:cs="Times New Roman"/>
          <w:sz w:val="24"/>
          <w:szCs w:val="24"/>
          <w:lang w:val="en-GB"/>
        </w:rPr>
      </w:pPr>
    </w:p>
    <w:sectPr w:rsidR="00B15573" w:rsidRPr="00C0466D" w:rsidSect="00E464EE">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079F" w14:textId="77777777" w:rsidR="001363FB" w:rsidRDefault="001363FB" w:rsidP="00E464EE">
      <w:pPr>
        <w:spacing w:after="0" w:line="240" w:lineRule="auto"/>
      </w:pPr>
      <w:r>
        <w:separator/>
      </w:r>
    </w:p>
  </w:endnote>
  <w:endnote w:type="continuationSeparator" w:id="0">
    <w:p w14:paraId="29C7E566" w14:textId="77777777" w:rsidR="001363FB" w:rsidRDefault="001363FB" w:rsidP="00E4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618627"/>
      <w:docPartObj>
        <w:docPartGallery w:val="Page Numbers (Bottom of Page)"/>
        <w:docPartUnique/>
      </w:docPartObj>
    </w:sdtPr>
    <w:sdtEndPr/>
    <w:sdtContent>
      <w:p w14:paraId="4A014CA0" w14:textId="1BE2C5F7" w:rsidR="00E464EE" w:rsidRDefault="00E464EE">
        <w:pPr>
          <w:pStyle w:val="Footer"/>
          <w:jc w:val="center"/>
        </w:pPr>
        <w:r>
          <w:fldChar w:fldCharType="begin"/>
        </w:r>
        <w:r>
          <w:instrText>PAGE   \* MERGEFORMAT</w:instrText>
        </w:r>
        <w:r>
          <w:fldChar w:fldCharType="separate"/>
        </w:r>
        <w:r>
          <w:rPr>
            <w:lang w:val="fr-FR"/>
          </w:rPr>
          <w:t>2</w:t>
        </w:r>
        <w:r>
          <w:fldChar w:fldCharType="end"/>
        </w:r>
      </w:p>
    </w:sdtContent>
  </w:sdt>
  <w:p w14:paraId="5CBA81C7" w14:textId="77777777" w:rsidR="00E464EE" w:rsidRDefault="00E46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FD26" w14:textId="77777777" w:rsidR="001363FB" w:rsidRDefault="001363FB" w:rsidP="00E464EE">
      <w:pPr>
        <w:spacing w:after="0" w:line="240" w:lineRule="auto"/>
      </w:pPr>
      <w:r>
        <w:separator/>
      </w:r>
    </w:p>
  </w:footnote>
  <w:footnote w:type="continuationSeparator" w:id="0">
    <w:p w14:paraId="6CB21E99" w14:textId="77777777" w:rsidR="001363FB" w:rsidRDefault="001363FB" w:rsidP="00E46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000001B"/>
    <w:lvl w:ilvl="0">
      <w:start w:val="1"/>
      <w:numFmt w:val="lowerRoman"/>
      <w:lvlText w:val="%1."/>
      <w:lvlJc w:val="right"/>
      <w:pPr>
        <w:ind w:left="360" w:hanging="360"/>
      </w:pPr>
      <w:rPr>
        <w:rFonts w:hint="default"/>
      </w:rPr>
    </w:lvl>
  </w:abstractNum>
  <w:abstractNum w:abstractNumId="9" w15:restartNumberingAfterBreak="0">
    <w:nsid w:val="04707473"/>
    <w:multiLevelType w:val="hybridMultilevel"/>
    <w:tmpl w:val="DF30E528"/>
    <w:lvl w:ilvl="0" w:tplc="1000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E162C"/>
    <w:multiLevelType w:val="hybridMultilevel"/>
    <w:tmpl w:val="8CEC9A7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BFB2518"/>
    <w:multiLevelType w:val="hybridMultilevel"/>
    <w:tmpl w:val="84EC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45EBE"/>
    <w:multiLevelType w:val="hybridMultilevel"/>
    <w:tmpl w:val="BB4C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D5785"/>
    <w:multiLevelType w:val="hybridMultilevel"/>
    <w:tmpl w:val="8BB0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2459E"/>
    <w:multiLevelType w:val="hybridMultilevel"/>
    <w:tmpl w:val="27B6B9A2"/>
    <w:lvl w:ilvl="0" w:tplc="1000001B">
      <w:start w:val="1"/>
      <w:numFmt w:val="low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3"/>
  </w:num>
  <w:num w:numId="12">
    <w:abstractNumId w:val="12"/>
  </w:num>
  <w:num w:numId="13">
    <w:abstractNumId w:val="1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36"/>
    <w:rsid w:val="00034616"/>
    <w:rsid w:val="0006063C"/>
    <w:rsid w:val="00084697"/>
    <w:rsid w:val="001363FB"/>
    <w:rsid w:val="0015074B"/>
    <w:rsid w:val="001B0770"/>
    <w:rsid w:val="00294183"/>
    <w:rsid w:val="00294D25"/>
    <w:rsid w:val="0029639D"/>
    <w:rsid w:val="00326F90"/>
    <w:rsid w:val="003E4DF7"/>
    <w:rsid w:val="005A1B86"/>
    <w:rsid w:val="005A209E"/>
    <w:rsid w:val="00A1645A"/>
    <w:rsid w:val="00AA1D8D"/>
    <w:rsid w:val="00B15573"/>
    <w:rsid w:val="00B47730"/>
    <w:rsid w:val="00C0466D"/>
    <w:rsid w:val="00C57614"/>
    <w:rsid w:val="00CB0664"/>
    <w:rsid w:val="00DA2711"/>
    <w:rsid w:val="00E068A9"/>
    <w:rsid w:val="00E464EE"/>
    <w:rsid w:val="00E9014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5DE8B"/>
  <w14:defaultImageDpi w14:val="300"/>
  <w15:docId w15:val="{5D224268-0844-4F23-92DD-ACE043CE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sz w:val="21"/>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20" w:after="8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120" w:after="8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5">
    <w:name w:val="Plain Table 5"/>
    <w:basedOn w:val="TableNormal"/>
    <w:uiPriority w:val="99"/>
    <w:rsid w:val="00E464E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E464EE"/>
    <w:rPr>
      <w:color w:val="0000FF" w:themeColor="hyperlink"/>
      <w:u w:val="single"/>
    </w:rPr>
  </w:style>
  <w:style w:type="character" w:styleId="UnresolvedMention">
    <w:name w:val="Unresolved Mention"/>
    <w:basedOn w:val="DefaultParagraphFont"/>
    <w:uiPriority w:val="99"/>
    <w:semiHidden/>
    <w:unhideWhenUsed/>
    <w:rsid w:val="00E4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bert.obiero@au-ibar.org" TargetMode="External"/><Relationship Id="rId4" Type="http://schemas.openxmlformats.org/officeDocument/2006/relationships/settings" Target="settings.xml"/><Relationship Id="rId9" Type="http://schemas.openxmlformats.org/officeDocument/2006/relationships/hyperlink" Target="mailto:procurement@au-i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CF4C-117A-4376-BCDA-705CCCE3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3226</Words>
  <Characters>18390</Characters>
  <Application>Microsoft Office Word</Application>
  <DocSecurity>0</DocSecurity>
  <Lines>153</Lines>
  <Paragraphs>43</Paragraphs>
  <ScaleCrop>false</ScaleCrop>
  <HeadingPairs>
    <vt:vector size="6" baseType="variant">
      <vt:variant>
        <vt:lpstr>Title</vt:lpstr>
      </vt:variant>
      <vt:variant>
        <vt:i4>1</vt:i4>
      </vt:variant>
      <vt:variant>
        <vt:lpstr>Titre</vt:lpstr>
      </vt:variant>
      <vt:variant>
        <vt:i4>1</vt:i4>
      </vt:variant>
      <vt:variant>
        <vt:lpstr>Titres</vt:lpstr>
      </vt:variant>
      <vt:variant>
        <vt:i4>31</vt:i4>
      </vt:variant>
    </vt:vector>
  </HeadingPairs>
  <TitlesOfParts>
    <vt:vector size="33" baseType="lpstr">
      <vt:lpstr/>
      <vt:lpstr/>
      <vt:lpstr>1. Context: Programme background and overview</vt:lpstr>
      <vt:lpstr>2. Proposed Consultancy</vt:lpstr>
      <vt:lpstr>    2.1 Description of the Assignment</vt:lpstr>
      <vt:lpstr>        Specific objectives</vt:lpstr>
      <vt:lpstr>        Requested services, including suggested methodology</vt:lpstr>
      <vt:lpstr>    2.2 Tasks</vt:lpstr>
      <vt:lpstr>        Indicative analytical questions</vt:lpstr>
      <vt:lpstr>    2.3 Expected Outputs</vt:lpstr>
      <vt:lpstr>    2.4 Proposed Methodology</vt:lpstr>
      <vt:lpstr>3. Location</vt:lpstr>
      <vt:lpstr>4. Duration</vt:lpstr>
      <vt:lpstr>5. Supervision</vt:lpstr>
      <vt:lpstr>6. Reporting</vt:lpstr>
      <vt:lpstr>7. Responsibilities of AU-IBAR</vt:lpstr>
      <vt:lpstr>8. Remuneration</vt:lpstr>
      <vt:lpstr>9. Requirements</vt:lpstr>
      <vt:lpstr>10. Qualifications</vt:lpstr>
      <vt:lpstr>    10.1 Academic qualifications</vt:lpstr>
      <vt:lpstr>    10.2 General professional experience</vt:lpstr>
      <vt:lpstr>    10.3 Specific professional experience</vt:lpstr>
      <vt:lpstr>    10.4 Language skills</vt:lpstr>
      <vt:lpstr>11. Evaluation criteria</vt:lpstr>
      <vt:lpstr>12. Gender mainstreaming</vt:lpstr>
      <vt:lpstr>13. Submission of applications</vt:lpstr>
      <vt:lpstr>14. Medical and travel cover and taxes for the consultant</vt:lpstr>
      <vt:lpstr>15. Disclaimer / Intellectual property</vt:lpstr>
      <vt:lpstr>16. Indicative annexes / templates to be produced under the consultancy</vt:lpstr>
      <vt:lpstr>    Annex A — Donor and Partner Intelligence Matrix (template)</vt:lpstr>
      <vt:lpstr>    Annex B — Pipeline Tracker (template)</vt:lpstr>
      <vt:lpstr>    Annex C — Recommended structure of the Resource Mobilisation Plan</vt:lpstr>
      <vt:lpstr>    Annex D — High-level Advocacy Meeting Package (outline)</vt:lpstr>
    </vt:vector>
  </TitlesOfParts>
  <Manager/>
  <Company>JMFK</Company>
  <LinksUpToDate>false</LinksUpToDate>
  <CharactersWithSpaces>21573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Feussom</dc:creator>
  <cp:keywords/>
  <dc:description>generated by python-docx</dc:description>
  <cp:lastModifiedBy>Ruth Lelei</cp:lastModifiedBy>
  <cp:revision>2</cp:revision>
  <dcterms:created xsi:type="dcterms:W3CDTF">2026-05-22T11:24:00Z</dcterms:created>
  <dcterms:modified xsi:type="dcterms:W3CDTF">2026-05-22T11:24:00Z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3d221cc4-6a3b-4aff-b663-ea8fba61af04</vt:lpwstr>
  </property>
</Properties>
</file>